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7221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常熟市医学检验一体化管理方案</w:t>
      </w:r>
    </w:p>
    <w:p w14:paraId="38F690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征求意见稿</w:t>
      </w:r>
      <w:bookmarkStart w:id="4" w:name="_GoBack"/>
      <w:bookmarkEnd w:id="4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eastAsia="zh-CN"/>
        </w:rPr>
        <w:t>）</w:t>
      </w:r>
    </w:p>
    <w:p w14:paraId="07F417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263CDC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为贯彻落实《国务院办公厅关于推进医疗联合体建设和发展的指导意见》（国办发〔2017〕32号）和《常熟市专科医共体融入区域医共体发展实施办法（试行）》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常医改办发〔2023〕2号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等文件精神，进一步加强全市公立医疗机构医学检验统筹管理，优化全市范围内的检验资源配置，提升基层医疗机构服务能力，特制订常熟市医学检验一体化管理方案。</w:t>
      </w:r>
    </w:p>
    <w:p w14:paraId="36A0EE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一、总体目标</w:t>
      </w:r>
    </w:p>
    <w:p w14:paraId="3EB55CF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通过建立覆盖全市公立医疗机构的医学检验一体化管理体系，实现“五个统一”：统一检验质量管理、统一人员配置管理、统一设备配置管理、统一检验试剂耗材管理、统一信息管理，构建“质量同质、资源共享”的县域检验一体的集约化“常熟模式”，实现全市检验资源集约化配置、检验质量标准化管理、检验结果全市互认，达到提质增效、集约降费、提升群众就医获得感的目标。</w:t>
      </w:r>
    </w:p>
    <w:p w14:paraId="09862E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组织机构</w:t>
      </w:r>
    </w:p>
    <w:p w14:paraId="676687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bookmarkStart w:id="0" w:name="OLE_LINK4"/>
      <w:bookmarkStart w:id="1" w:name="OLE_LINK3"/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依托常熟市医学检验所对全市公立医疗机构检验科进行一体化管理，实行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1+5+N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组织架构（1个检验中心、5大职能科室、N个医共体单位），由市卫健委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医政医管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科负责监督管理，统筹协调全市检验资源配置，形成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市级统筹、分片管理、上下联动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的管理模式。</w:t>
      </w:r>
      <w:bookmarkEnd w:id="0"/>
      <w:bookmarkEnd w:id="1"/>
    </w:p>
    <w:p w14:paraId="015FED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三、基本原则</w:t>
      </w:r>
    </w:p>
    <w:p w14:paraId="48A5B2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坚持法人独立、财务独立、人事独立、资产独立原则；</w:t>
      </w:r>
    </w:p>
    <w:p w14:paraId="65E8D1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坚持质量为中心，以提升基层医学检验服务能力的原则；</w:t>
      </w:r>
    </w:p>
    <w:p w14:paraId="2FA4D1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坚持分级分类管理原则；</w:t>
      </w:r>
    </w:p>
    <w:p w14:paraId="039081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坚持规范管理、稳步推进原则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</w:p>
    <w:p w14:paraId="4301F4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四、管理方案</w:t>
      </w:r>
    </w:p>
    <w:p w14:paraId="695A6E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（一）检验项目分级管理</w:t>
      </w:r>
    </w:p>
    <w:p w14:paraId="66D6E8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常熟市医学检验所根据各医疗机构的功能定位，进行检验项目分级管理，同时定期进行检验项目目录的更新。</w:t>
      </w:r>
    </w:p>
    <w:p w14:paraId="1B888A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医疗机构新增检验项目需向管理中心申请，经论证后确定自行开展还是外送区域医疗中心或医学检验所检测。</w:t>
      </w:r>
    </w:p>
    <w:p w14:paraId="582B55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（二）设备统一管理</w:t>
      </w:r>
    </w:p>
    <w:p w14:paraId="1B795F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现有设备正常使用，设备到期或报废后，新购设备需经市医学检验所论证同意后方可采购。</w:t>
      </w:r>
    </w:p>
    <w:p w14:paraId="30FC05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各医疗机构按医院发展规划如需新增检验设备，在购置设备前需提交采购申请，经论证同意后方可采购。</w:t>
      </w:r>
    </w:p>
    <w:p w14:paraId="5134CF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市医学检验所对设备的采购进行指导。设备采购过程中优先选择区域内占比多的品牌、型号，便于标准操作培训、减少耗材适配问题、降低维护成本。</w:t>
      </w:r>
    </w:p>
    <w:p w14:paraId="28AFE3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试剂耗材统一管理</w:t>
      </w:r>
    </w:p>
    <w:p w14:paraId="52B4F55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各医疗机构在采购合同期内的试剂耗材继续使用，到期后由市医学检验所牵头进行采购谈判，通过带量采购降低采购成本。</w:t>
      </w:r>
    </w:p>
    <w:p w14:paraId="7B55C7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对于已经在合同期以外的试剂耗材，</w:t>
      </w:r>
      <w:bookmarkStart w:id="2" w:name="OLE_LINK2"/>
      <w:bookmarkStart w:id="3" w:name="OLE_LINK1"/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市医学检验所</w:t>
      </w:r>
      <w:bookmarkEnd w:id="2"/>
      <w:bookmarkEnd w:id="3"/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分阶段实施集中谈判。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2306"/>
        <w:gridCol w:w="4996"/>
      </w:tblGrid>
      <w:tr w14:paraId="0FA0D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67" w:type="pct"/>
            <w:vAlign w:val="center"/>
          </w:tcPr>
          <w:p w14:paraId="660F7823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阶段</w:t>
            </w:r>
          </w:p>
        </w:tc>
        <w:tc>
          <w:tcPr>
            <w:tcW w:w="1305" w:type="pct"/>
            <w:vAlign w:val="center"/>
          </w:tcPr>
          <w:p w14:paraId="3E184018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2827" w:type="pct"/>
            <w:vAlign w:val="center"/>
          </w:tcPr>
          <w:p w14:paraId="7FCA754F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主要任务</w:t>
            </w:r>
          </w:p>
        </w:tc>
      </w:tr>
      <w:tr w14:paraId="1E69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867" w:type="pct"/>
            <w:vAlign w:val="center"/>
          </w:tcPr>
          <w:p w14:paraId="2BDF336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第一阶段</w:t>
            </w:r>
          </w:p>
        </w:tc>
        <w:tc>
          <w:tcPr>
            <w:tcW w:w="1305" w:type="pct"/>
            <w:vAlign w:val="center"/>
          </w:tcPr>
          <w:p w14:paraId="2E4105B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2025年6-7月</w:t>
            </w:r>
          </w:p>
        </w:tc>
        <w:tc>
          <w:tcPr>
            <w:tcW w:w="2827" w:type="pct"/>
            <w:vAlign w:val="center"/>
          </w:tcPr>
          <w:p w14:paraId="5820A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对血细胞分析仪、尿液分析仪的试剂耗材进行集中谈判降费</w:t>
            </w:r>
          </w:p>
        </w:tc>
      </w:tr>
      <w:tr w14:paraId="7650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867" w:type="pct"/>
            <w:vAlign w:val="center"/>
          </w:tcPr>
          <w:p w14:paraId="4DF980F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第二阶段</w:t>
            </w:r>
          </w:p>
        </w:tc>
        <w:tc>
          <w:tcPr>
            <w:tcW w:w="1305" w:type="pct"/>
            <w:vAlign w:val="center"/>
          </w:tcPr>
          <w:p w14:paraId="595DC71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2025年8月</w:t>
            </w:r>
          </w:p>
        </w:tc>
        <w:tc>
          <w:tcPr>
            <w:tcW w:w="2827" w:type="pct"/>
            <w:vAlign w:val="center"/>
          </w:tcPr>
          <w:p w14:paraId="27642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对生化分析仪的试剂耗材现有采购情况进行摸底</w:t>
            </w:r>
          </w:p>
        </w:tc>
      </w:tr>
      <w:tr w14:paraId="3E0E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867" w:type="pct"/>
            <w:vAlign w:val="center"/>
          </w:tcPr>
          <w:p w14:paraId="7323BB3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第三阶段</w:t>
            </w:r>
          </w:p>
        </w:tc>
        <w:tc>
          <w:tcPr>
            <w:tcW w:w="1305" w:type="pct"/>
            <w:vAlign w:val="center"/>
          </w:tcPr>
          <w:p w14:paraId="235B377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2025年9月</w:t>
            </w:r>
          </w:p>
        </w:tc>
        <w:tc>
          <w:tcPr>
            <w:tcW w:w="2827" w:type="pct"/>
            <w:vAlign w:val="center"/>
          </w:tcPr>
          <w:p w14:paraId="52B7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对生化分析仪的试剂耗材进行集中谈判降费</w:t>
            </w:r>
          </w:p>
        </w:tc>
      </w:tr>
      <w:tr w14:paraId="4E264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867" w:type="pct"/>
            <w:vAlign w:val="center"/>
          </w:tcPr>
          <w:p w14:paraId="150B8A7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第四阶段</w:t>
            </w:r>
          </w:p>
        </w:tc>
        <w:tc>
          <w:tcPr>
            <w:tcW w:w="1305" w:type="pct"/>
            <w:vAlign w:val="center"/>
          </w:tcPr>
          <w:p w14:paraId="1274434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2025年10-11月</w:t>
            </w:r>
          </w:p>
        </w:tc>
        <w:tc>
          <w:tcPr>
            <w:tcW w:w="2827" w:type="pct"/>
            <w:vAlign w:val="center"/>
          </w:tcPr>
          <w:p w14:paraId="11A6A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对发光类设备的试剂耗材现有采购情况进行摸底</w:t>
            </w:r>
          </w:p>
        </w:tc>
      </w:tr>
      <w:tr w14:paraId="1E1A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867" w:type="pct"/>
            <w:vAlign w:val="center"/>
          </w:tcPr>
          <w:p w14:paraId="4B3BA16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第五阶段</w:t>
            </w:r>
          </w:p>
        </w:tc>
        <w:tc>
          <w:tcPr>
            <w:tcW w:w="1305" w:type="pct"/>
            <w:vAlign w:val="center"/>
          </w:tcPr>
          <w:p w14:paraId="62B0EEF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2025年12月</w:t>
            </w:r>
          </w:p>
        </w:tc>
        <w:tc>
          <w:tcPr>
            <w:tcW w:w="2827" w:type="pct"/>
            <w:vAlign w:val="center"/>
          </w:tcPr>
          <w:p w14:paraId="7A691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对发光类设备的试剂耗材进行集中谈判降费</w:t>
            </w:r>
          </w:p>
        </w:tc>
      </w:tr>
    </w:tbl>
    <w:p w14:paraId="77CCEF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在检验项目发生调价后，市医学检验所牵头对调价项目的试剂耗材进行议价谈判。</w:t>
      </w:r>
    </w:p>
    <w:p w14:paraId="571323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各医疗机构按照市医学检验所议定的价格负责日常采购。</w:t>
      </w:r>
    </w:p>
    <w:p w14:paraId="1FC492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人员管理</w:t>
      </w:r>
    </w:p>
    <w:p w14:paraId="172FD4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由市医学检验所核定各医共体内医疗机构检验科人数。目前超过核定人数的机构，优先医疗机构内部或医共体内进行人员分流。</w:t>
      </w:r>
    </w:p>
    <w:p w14:paraId="37A586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各医疗机构检验科如需新增检验人员，需向市医学检验所提交申请，经审核同意后，由医共体核心医院组织实施统一招聘、调配，并推进柔性流动机制。</w:t>
      </w:r>
    </w:p>
    <w:p w14:paraId="53DE14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由市医学检验所定期开展检验人员理论和技术培训，基层医疗机构检验人员可派人员来检验所进修，检验所按需外派骨干赴基层检验科指导。</w:t>
      </w:r>
    </w:p>
    <w:p w14:paraId="44A44A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（五）检验质量同质化管理</w:t>
      </w:r>
    </w:p>
    <w:p w14:paraId="1E28FF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三级质控网络</w:t>
      </w:r>
    </w:p>
    <w:p w14:paraId="6A0CA9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市级质控中心：每年组织至少1次全面质量督查。</w:t>
      </w:r>
    </w:p>
    <w:p w14:paraId="64DEB8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医共体质控小组：由核心医院检验科负责每季度开展质量督查。</w:t>
      </w:r>
    </w:p>
    <w:p w14:paraId="0E2037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各医疗机构质控小组：每日执行室内质控及参加各级室间质评。</w:t>
      </w:r>
    </w:p>
    <w:p w14:paraId="0F3601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质量管理</w:t>
      </w:r>
    </w:p>
    <w:p w14:paraId="698B92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统一检验标准：采用国际（如ISO 15189）或国家认可的检验标准，确保不同机构间检测方法、参考区间、报告格式一致。</w:t>
      </w:r>
    </w:p>
    <w:p w14:paraId="027164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规范化操作流程：制定标准操作规程，覆盖样本采集、运输、检测、结果报告全流程，减少人为误差。</w:t>
      </w:r>
    </w:p>
    <w:p w14:paraId="3050DB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质量控制体系：开展室内质控（IQC）和室间质评（EQA），确保不同实验室结果可比性。</w:t>
      </w:r>
    </w:p>
    <w:p w14:paraId="7C934F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（六）信息化管理</w:t>
      </w:r>
    </w:p>
    <w:p w14:paraId="0A9274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构建全市统一的检验信息LIS系统，医学检验所统一负责区域LIS系统的建设和运维、硬件与网络基础设施管理、信息安全管理等。实现全市检验结果的实时调阅、查询、互认。</w:t>
      </w:r>
    </w:p>
    <w:p w14:paraId="599E90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(七）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检验费用财务结算管理</w:t>
      </w:r>
    </w:p>
    <w:p w14:paraId="3CB6B7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各医疗机构外送区域医疗中心或者医学检验所的检验费用按项目、按比例分类结算。</w:t>
      </w:r>
    </w:p>
    <w:p w14:paraId="4C9E40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五、工作要求</w:t>
      </w:r>
    </w:p>
    <w:p w14:paraId="321E8C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（一）加强组织领导</w:t>
      </w:r>
    </w:p>
    <w:p w14:paraId="09AE02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市医学检验所加强对全市检验一体化管理推进工作的领导，各级公立医疗机构配合落实。</w:t>
      </w:r>
    </w:p>
    <w:p w14:paraId="5A4445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完善监督机制</w:t>
      </w:r>
    </w:p>
    <w:p w14:paraId="3755F5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坚持公开、公平、公正的原则，规范检验试剂和耗材采购流程，落实内部监督和外部监督相结合。</w:t>
      </w:r>
    </w:p>
    <w:p w14:paraId="61E04D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（三）强化宣传引导</w:t>
      </w:r>
    </w:p>
    <w:p w14:paraId="249620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各单位做好宣传引导工作，加强对检验资源一体化管理的重要意义、政策措施的宣传。 </w:t>
      </w:r>
    </w:p>
    <w:p w14:paraId="5D980E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六、实施时间</w:t>
      </w:r>
    </w:p>
    <w:p w14:paraId="005BFD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自发文之日起实施。</w:t>
      </w:r>
    </w:p>
    <w:p w14:paraId="47F649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553A90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4F989392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常熟市卫生健康委员会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</w:t>
      </w:r>
    </w:p>
    <w:p w14:paraId="3865069C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2025年6月19日      </w:t>
      </w:r>
    </w:p>
    <w:sectPr>
      <w:footerReference r:id="rId3" w:type="default"/>
      <w:pgSz w:w="11906" w:h="16838"/>
      <w:pgMar w:top="1417" w:right="1587" w:bottom="1474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15E8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0541B6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0541B6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A4"/>
    <w:rsid w:val="000F2A82"/>
    <w:rsid w:val="0017690D"/>
    <w:rsid w:val="002824E0"/>
    <w:rsid w:val="00360D43"/>
    <w:rsid w:val="006C480C"/>
    <w:rsid w:val="009026A4"/>
    <w:rsid w:val="009609DA"/>
    <w:rsid w:val="00B256AC"/>
    <w:rsid w:val="00B667EA"/>
    <w:rsid w:val="00EE0176"/>
    <w:rsid w:val="00F043E4"/>
    <w:rsid w:val="00FA0CE0"/>
    <w:rsid w:val="03E84CFC"/>
    <w:rsid w:val="0A935E77"/>
    <w:rsid w:val="0F1159AF"/>
    <w:rsid w:val="16866218"/>
    <w:rsid w:val="18FA3739"/>
    <w:rsid w:val="1C2B72F9"/>
    <w:rsid w:val="1C6E709B"/>
    <w:rsid w:val="22932485"/>
    <w:rsid w:val="271D6EBF"/>
    <w:rsid w:val="27F102BA"/>
    <w:rsid w:val="29473124"/>
    <w:rsid w:val="2C6B7279"/>
    <w:rsid w:val="2EC42E13"/>
    <w:rsid w:val="307040DF"/>
    <w:rsid w:val="30901AA0"/>
    <w:rsid w:val="32D45A86"/>
    <w:rsid w:val="35AD43E5"/>
    <w:rsid w:val="367B39F1"/>
    <w:rsid w:val="415670B4"/>
    <w:rsid w:val="43590CC8"/>
    <w:rsid w:val="488A7607"/>
    <w:rsid w:val="4BE667AB"/>
    <w:rsid w:val="4DE72F59"/>
    <w:rsid w:val="4E9F6860"/>
    <w:rsid w:val="4F3E7024"/>
    <w:rsid w:val="4F8310F8"/>
    <w:rsid w:val="55F75315"/>
    <w:rsid w:val="562C159A"/>
    <w:rsid w:val="5AA55C61"/>
    <w:rsid w:val="5C904D69"/>
    <w:rsid w:val="5D721FAA"/>
    <w:rsid w:val="70160AE5"/>
    <w:rsid w:val="70D64558"/>
    <w:rsid w:val="739509AF"/>
    <w:rsid w:val="769304E7"/>
    <w:rsid w:val="7A8C7C66"/>
    <w:rsid w:val="7B184E96"/>
    <w:rsid w:val="7C146608"/>
    <w:rsid w:val="7C322B50"/>
    <w:rsid w:val="7CDF6210"/>
    <w:rsid w:val="7CEB6AD9"/>
    <w:rsid w:val="7F19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31"/>
    <w:basedOn w:val="7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1918</Words>
  <Characters>1989</Characters>
  <Lines>14</Lines>
  <Paragraphs>4</Paragraphs>
  <TotalTime>0</TotalTime>
  <ScaleCrop>false</ScaleCrop>
  <LinksUpToDate>false</LinksUpToDate>
  <CharactersWithSpaces>2001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2025-03-23T08:12:00Z</dcterms:created>
  <dc:creator>cc</dc:creator>
  <cp:lastModifiedBy>居敬行简</cp:lastModifiedBy>
  <cp:lastPrinted>2025-05-30T01:27:00Z</cp:lastPrinted>
  <dcterms:modified xsi:type="dcterms:W3CDTF">2025-06-19T08:27:16Z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eyJoZGlkIjoiNzEwMzA0Nzc3ZTE0NTQ0NWM5ZDk3Yzg5ZjdlMDg5YWYiLCJ1c2VySWQiOiIxMTcyMTk5OTkxIn0=</vt:lpwstr>
  </property>
  <property fmtid="{D5CDD505-2E9C-101B-9397-08002B2CF9AE}" pid="4" name="ICV">
    <vt:lpwstr>D65668D8758A427BAE63CAA0A7B5C466_13</vt:lpwstr>
  </property>
</Properties>
</file>