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E065FA0">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0"/>
        <w:jc w:val="center"/>
        <w:textAlignment w:val="auto"/>
        <w:rPr>
          <w:rFonts w:ascii="微软雅黑" w:hAnsi="微软雅黑" w:eastAsia="微软雅黑" w:cs="微软雅黑"/>
          <w:b/>
          <w:bCs/>
          <w:i w:val="0"/>
          <w:iCs w:val="0"/>
          <w:caps w:val="0"/>
          <w:color w:val="333333"/>
          <w:spacing w:val="0"/>
          <w:sz w:val="39"/>
          <w:szCs w:val="39"/>
        </w:rPr>
      </w:pPr>
      <w:r>
        <w:rPr>
          <w:rFonts w:hint="eastAsia" w:ascii="微软雅黑" w:hAnsi="微软雅黑" w:eastAsia="微软雅黑" w:cs="微软雅黑"/>
          <w:b/>
          <w:bCs/>
          <w:i w:val="0"/>
          <w:iCs w:val="0"/>
          <w:caps w:val="0"/>
          <w:color w:val="333333"/>
          <w:spacing w:val="0"/>
          <w:sz w:val="39"/>
          <w:szCs w:val="39"/>
          <w:lang w:eastAsia="zh-CN"/>
        </w:rPr>
        <w:t>常熟</w:t>
      </w:r>
      <w:r>
        <w:rPr>
          <w:rFonts w:hint="eastAsia" w:ascii="微软雅黑" w:hAnsi="微软雅黑" w:eastAsia="微软雅黑" w:cs="微软雅黑"/>
          <w:b/>
          <w:bCs/>
          <w:i w:val="0"/>
          <w:iCs w:val="0"/>
          <w:caps w:val="0"/>
          <w:color w:val="333333"/>
          <w:spacing w:val="0"/>
          <w:sz w:val="39"/>
          <w:szCs w:val="39"/>
        </w:rPr>
        <w:t>市历史文化名城保护办法</w:t>
      </w:r>
    </w:p>
    <w:p w14:paraId="2DDEB621">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105" w:beforeAutospacing="0" w:after="105" w:afterAutospacing="0" w:line="560" w:lineRule="exact"/>
        <w:ind w:left="0" w:right="0" w:firstLine="420"/>
        <w:jc w:val="center"/>
        <w:textAlignment w:val="auto"/>
        <w:rPr>
          <w:rFonts w:hint="eastAsia" w:ascii="宋体" w:hAnsi="宋体" w:eastAsia="宋体" w:cs="宋体"/>
          <w:i w:val="0"/>
          <w:iCs w:val="0"/>
          <w:caps w:val="0"/>
          <w:color w:val="333333"/>
          <w:spacing w:val="0"/>
          <w:sz w:val="24"/>
          <w:szCs w:val="24"/>
        </w:rPr>
      </w:pPr>
    </w:p>
    <w:p w14:paraId="7F09CB3C">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105" w:beforeAutospacing="0" w:after="105" w:afterAutospacing="0" w:line="560" w:lineRule="exact"/>
        <w:ind w:left="0" w:right="0" w:firstLine="420"/>
        <w:jc w:val="center"/>
        <w:textAlignment w:val="auto"/>
        <w:rPr>
          <w:rFonts w:hint="eastAsia" w:ascii="宋体" w:hAnsi="宋体" w:eastAsia="宋体" w:cs="宋体"/>
          <w:i w:val="0"/>
          <w:iCs w:val="0"/>
          <w:caps w:val="0"/>
          <w:color w:val="333333"/>
          <w:spacing w:val="0"/>
          <w:sz w:val="24"/>
          <w:szCs w:val="24"/>
        </w:rPr>
      </w:pPr>
    </w:p>
    <w:p w14:paraId="44C4DCA9">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105" w:beforeAutospacing="0" w:after="105" w:afterAutospacing="0" w:line="560" w:lineRule="exact"/>
        <w:ind w:left="0" w:right="0" w:firstLine="643" w:firstLineChars="200"/>
        <w:jc w:val="both"/>
        <w:textAlignment w:val="auto"/>
        <w:rPr>
          <w:rFonts w:hint="eastAsia" w:ascii="仿宋_GB2312" w:hAnsi="仿宋_GB2312" w:eastAsia="仿宋_GB2312" w:cs="仿宋_GB2312"/>
          <w:i w:val="0"/>
          <w:iCs w:val="0"/>
          <w:caps w:val="0"/>
          <w:color w:val="333333"/>
          <w:spacing w:val="0"/>
          <w:sz w:val="32"/>
          <w:szCs w:val="32"/>
        </w:rPr>
      </w:pPr>
      <w:r>
        <w:rPr>
          <w:rFonts w:hint="eastAsia" w:ascii="仿宋_GB2312" w:hAnsi="仿宋_GB2312" w:eastAsia="仿宋_GB2312" w:cs="仿宋_GB2312"/>
          <w:b/>
          <w:bCs/>
          <w:i w:val="0"/>
          <w:iCs w:val="0"/>
          <w:caps w:val="0"/>
          <w:color w:val="333333"/>
          <w:spacing w:val="0"/>
          <w:sz w:val="32"/>
          <w:szCs w:val="32"/>
        </w:rPr>
        <w:t>第一条</w:t>
      </w:r>
      <w:r>
        <w:rPr>
          <w:rFonts w:hint="eastAsia" w:ascii="仿宋_GB2312" w:hAnsi="仿宋_GB2312" w:eastAsia="仿宋_GB2312" w:cs="仿宋_GB2312"/>
          <w:i w:val="0"/>
          <w:iCs w:val="0"/>
          <w:caps w:val="0"/>
          <w:color w:val="333333"/>
          <w:spacing w:val="0"/>
          <w:sz w:val="32"/>
          <w:szCs w:val="32"/>
          <w:lang w:val="en-US" w:eastAsia="zh-CN"/>
        </w:rPr>
        <w:t xml:space="preserve"> </w:t>
      </w:r>
      <w:r>
        <w:rPr>
          <w:rFonts w:hint="eastAsia" w:ascii="仿宋_GB2312" w:hAnsi="仿宋_GB2312" w:eastAsia="仿宋_GB2312" w:cs="仿宋_GB2312"/>
          <w:i w:val="0"/>
          <w:iCs w:val="0"/>
          <w:caps w:val="0"/>
          <w:color w:val="333333"/>
          <w:spacing w:val="0"/>
          <w:sz w:val="32"/>
          <w:szCs w:val="32"/>
        </w:rPr>
        <w:t>为加强常熟历史文化名城的整体保护与合理利用，继承和发展优秀历史文化遗产，传承江南水乡文化基因，</w:t>
      </w:r>
      <w:r>
        <w:rPr>
          <w:rFonts w:hint="eastAsia" w:ascii="仿宋_GB2312" w:hAnsi="仿宋_GB2312" w:eastAsia="仿宋_GB2312" w:cs="仿宋_GB2312"/>
          <w:i w:val="0"/>
          <w:iCs w:val="0"/>
          <w:caps w:val="0"/>
          <w:color w:val="333333"/>
          <w:spacing w:val="0"/>
          <w:sz w:val="32"/>
          <w:szCs w:val="32"/>
          <w:lang w:eastAsia="zh-CN"/>
        </w:rPr>
        <w:t>保护</w:t>
      </w:r>
      <w:r>
        <w:rPr>
          <w:rFonts w:hint="eastAsia" w:ascii="仿宋_GB2312" w:hAnsi="仿宋_GB2312" w:eastAsia="仿宋_GB2312" w:cs="仿宋_GB2312"/>
          <w:i w:val="0"/>
          <w:iCs w:val="0"/>
          <w:caps w:val="0"/>
          <w:color w:val="333333"/>
          <w:spacing w:val="0"/>
          <w:sz w:val="32"/>
          <w:szCs w:val="32"/>
        </w:rPr>
        <w:t>“七溪流水皆通海，十里青山半入城”的独特</w:t>
      </w:r>
      <w:r>
        <w:rPr>
          <w:rFonts w:hint="eastAsia" w:ascii="仿宋_GB2312" w:hAnsi="仿宋_GB2312" w:eastAsia="仿宋_GB2312" w:cs="仿宋_GB2312"/>
          <w:i w:val="0"/>
          <w:iCs w:val="0"/>
          <w:caps w:val="0"/>
          <w:color w:val="333333"/>
          <w:spacing w:val="0"/>
          <w:sz w:val="32"/>
          <w:szCs w:val="32"/>
          <w:lang w:eastAsia="zh-CN"/>
        </w:rPr>
        <w:t>城市格局</w:t>
      </w:r>
      <w:r>
        <w:rPr>
          <w:rFonts w:hint="eastAsia" w:ascii="仿宋_GB2312" w:hAnsi="仿宋_GB2312" w:eastAsia="仿宋_GB2312" w:cs="仿宋_GB2312"/>
          <w:i w:val="0"/>
          <w:iCs w:val="0"/>
          <w:caps w:val="0"/>
          <w:color w:val="333333"/>
          <w:spacing w:val="0"/>
          <w:sz w:val="32"/>
          <w:szCs w:val="32"/>
        </w:rPr>
        <w:t>风貌，根据《中华人民共和国城乡规划法》《中华人民共和国文物保护法》《历史文化名城名镇名村保护条例》《江苏省历史文化名城名镇保护条例》等法律、法规，结合本市实际，制定本办法。</w:t>
      </w:r>
    </w:p>
    <w:p w14:paraId="1C9D395B">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105" w:beforeAutospacing="0" w:after="105" w:afterAutospacing="0" w:line="560" w:lineRule="exact"/>
        <w:ind w:left="0" w:right="0" w:firstLine="643" w:firstLineChars="200"/>
        <w:jc w:val="both"/>
        <w:textAlignment w:val="auto"/>
        <w:rPr>
          <w:rFonts w:hint="eastAsia" w:ascii="仿宋_GB2312" w:hAnsi="仿宋_GB2312" w:eastAsia="仿宋_GB2312" w:cs="仿宋_GB2312"/>
          <w:i w:val="0"/>
          <w:iCs w:val="0"/>
          <w:caps w:val="0"/>
          <w:color w:val="333333"/>
          <w:spacing w:val="0"/>
          <w:sz w:val="32"/>
          <w:szCs w:val="32"/>
          <w:lang w:val="en-US" w:eastAsia="zh-CN"/>
        </w:rPr>
      </w:pPr>
      <w:r>
        <w:rPr>
          <w:rFonts w:hint="eastAsia" w:ascii="仿宋_GB2312" w:hAnsi="仿宋_GB2312" w:eastAsia="仿宋_GB2312" w:cs="仿宋_GB2312"/>
          <w:b/>
          <w:bCs/>
          <w:i w:val="0"/>
          <w:iCs w:val="0"/>
          <w:caps w:val="0"/>
          <w:color w:val="333333"/>
          <w:spacing w:val="0"/>
          <w:sz w:val="32"/>
          <w:szCs w:val="32"/>
        </w:rPr>
        <w:t>第二条</w:t>
      </w:r>
      <w:r>
        <w:rPr>
          <w:rFonts w:hint="eastAsia" w:ascii="仿宋_GB2312" w:hAnsi="仿宋_GB2312" w:eastAsia="仿宋_GB2312" w:cs="仿宋_GB2312"/>
          <w:i w:val="0"/>
          <w:iCs w:val="0"/>
          <w:caps w:val="0"/>
          <w:color w:val="333333"/>
          <w:spacing w:val="0"/>
          <w:sz w:val="32"/>
          <w:szCs w:val="32"/>
          <w:lang w:val="en-US" w:eastAsia="zh-CN"/>
        </w:rPr>
        <w:t xml:space="preserve"> </w:t>
      </w:r>
      <w:r>
        <w:rPr>
          <w:rFonts w:hint="eastAsia" w:ascii="仿宋_GB2312" w:hAnsi="仿宋_GB2312" w:eastAsia="仿宋_GB2312" w:cs="仿宋_GB2312"/>
          <w:i w:val="0"/>
          <w:iCs w:val="0"/>
          <w:caps w:val="0"/>
          <w:color w:val="333333"/>
          <w:spacing w:val="0"/>
          <w:sz w:val="32"/>
          <w:szCs w:val="32"/>
        </w:rPr>
        <w:t>在本市行政区域内从事历史文化名城</w:t>
      </w:r>
      <w:r>
        <w:rPr>
          <w:rFonts w:hint="eastAsia" w:ascii="仿宋_GB2312" w:hAnsi="仿宋_GB2312" w:eastAsia="仿宋_GB2312" w:cs="仿宋_GB2312"/>
          <w:i w:val="0"/>
          <w:iCs w:val="0"/>
          <w:caps w:val="0"/>
          <w:color w:val="333333"/>
          <w:spacing w:val="0"/>
          <w:sz w:val="32"/>
          <w:szCs w:val="32"/>
          <w:lang w:eastAsia="zh-CN"/>
        </w:rPr>
        <w:t>相关</w:t>
      </w:r>
      <w:r>
        <w:rPr>
          <w:rFonts w:hint="eastAsia" w:ascii="仿宋_GB2312" w:hAnsi="仿宋_GB2312" w:eastAsia="仿宋_GB2312" w:cs="仿宋_GB2312"/>
          <w:i w:val="0"/>
          <w:iCs w:val="0"/>
          <w:caps w:val="0"/>
          <w:color w:val="333333"/>
          <w:spacing w:val="0"/>
          <w:sz w:val="32"/>
          <w:szCs w:val="32"/>
        </w:rPr>
        <w:t>规划、建设、保护、管理、利用</w:t>
      </w:r>
      <w:r>
        <w:rPr>
          <w:rFonts w:hint="eastAsia" w:ascii="仿宋_GB2312" w:hAnsi="仿宋_GB2312" w:eastAsia="仿宋_GB2312" w:cs="仿宋_GB2312"/>
          <w:i w:val="0"/>
          <w:iCs w:val="0"/>
          <w:caps w:val="0"/>
          <w:color w:val="333333"/>
          <w:spacing w:val="0"/>
          <w:sz w:val="32"/>
          <w:szCs w:val="32"/>
          <w:lang w:eastAsia="zh-CN"/>
        </w:rPr>
        <w:t>等</w:t>
      </w:r>
      <w:r>
        <w:rPr>
          <w:rFonts w:hint="eastAsia" w:ascii="仿宋_GB2312" w:hAnsi="仿宋_GB2312" w:eastAsia="仿宋_GB2312" w:cs="仿宋_GB2312"/>
          <w:i w:val="0"/>
          <w:iCs w:val="0"/>
          <w:caps w:val="0"/>
          <w:color w:val="333333"/>
          <w:spacing w:val="0"/>
          <w:sz w:val="32"/>
          <w:szCs w:val="32"/>
        </w:rPr>
        <w:t>，均适用本办法。</w:t>
      </w:r>
    </w:p>
    <w:p w14:paraId="15FDD339">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105" w:beforeAutospacing="0" w:after="105" w:afterAutospacing="0" w:line="560" w:lineRule="exact"/>
        <w:ind w:left="0" w:right="0" w:firstLine="643" w:firstLineChars="200"/>
        <w:jc w:val="both"/>
        <w:textAlignment w:val="auto"/>
        <w:rPr>
          <w:rFonts w:hint="eastAsia" w:ascii="仿宋_GB2312" w:hAnsi="仿宋_GB2312" w:eastAsia="仿宋_GB2312" w:cs="仿宋_GB2312"/>
          <w:i w:val="0"/>
          <w:iCs w:val="0"/>
          <w:caps w:val="0"/>
          <w:color w:val="333333"/>
          <w:spacing w:val="0"/>
          <w:sz w:val="32"/>
          <w:szCs w:val="32"/>
        </w:rPr>
      </w:pPr>
      <w:r>
        <w:rPr>
          <w:rFonts w:hint="eastAsia" w:ascii="仿宋_GB2312" w:hAnsi="仿宋_GB2312" w:eastAsia="仿宋_GB2312" w:cs="仿宋_GB2312"/>
          <w:b/>
          <w:bCs/>
          <w:i w:val="0"/>
          <w:iCs w:val="0"/>
          <w:caps w:val="0"/>
          <w:color w:val="333333"/>
          <w:spacing w:val="0"/>
          <w:sz w:val="32"/>
          <w:szCs w:val="32"/>
        </w:rPr>
        <w:t>第三条</w:t>
      </w:r>
      <w:r>
        <w:rPr>
          <w:rFonts w:hint="eastAsia" w:ascii="仿宋_GB2312" w:hAnsi="仿宋_GB2312" w:eastAsia="仿宋_GB2312" w:cs="仿宋_GB2312"/>
          <w:i w:val="0"/>
          <w:iCs w:val="0"/>
          <w:caps w:val="0"/>
          <w:color w:val="333333"/>
          <w:spacing w:val="0"/>
          <w:sz w:val="32"/>
          <w:szCs w:val="32"/>
          <w:lang w:val="en-US" w:eastAsia="zh-CN"/>
        </w:rPr>
        <w:t xml:space="preserve"> 历史文化名城保护</w:t>
      </w:r>
      <w:r>
        <w:rPr>
          <w:rFonts w:hint="eastAsia" w:ascii="仿宋_GB2312" w:hAnsi="仿宋_GB2312" w:eastAsia="仿宋_GB2312" w:cs="仿宋_GB2312"/>
          <w:i w:val="0"/>
          <w:iCs w:val="0"/>
          <w:caps w:val="0"/>
          <w:color w:val="333333"/>
          <w:spacing w:val="0"/>
          <w:sz w:val="32"/>
          <w:szCs w:val="32"/>
        </w:rPr>
        <w:t>应当遵循保护优先、</w:t>
      </w:r>
      <w:r>
        <w:rPr>
          <w:rFonts w:hint="eastAsia" w:ascii="仿宋_GB2312" w:hAnsi="仿宋_GB2312" w:eastAsia="仿宋_GB2312" w:cs="仿宋_GB2312"/>
          <w:i w:val="0"/>
          <w:iCs w:val="0"/>
          <w:caps w:val="0"/>
          <w:color w:val="333333"/>
          <w:spacing w:val="0"/>
          <w:sz w:val="32"/>
          <w:szCs w:val="32"/>
          <w:lang w:val="en-US" w:eastAsia="zh-CN"/>
        </w:rPr>
        <w:t>应保尽保、</w:t>
      </w:r>
      <w:r>
        <w:rPr>
          <w:rFonts w:hint="eastAsia" w:ascii="仿宋_GB2312" w:hAnsi="仿宋_GB2312" w:eastAsia="仿宋_GB2312" w:cs="仿宋_GB2312"/>
          <w:i w:val="0"/>
          <w:iCs w:val="0"/>
          <w:caps w:val="0"/>
          <w:color w:val="333333"/>
          <w:spacing w:val="0"/>
          <w:sz w:val="32"/>
          <w:szCs w:val="32"/>
        </w:rPr>
        <w:t>科学规划、合理利用、协调发展的原则，正确处理经济社会发展与历史文化保护的关系，保持、延续历史文化名城的传统格局和历史风貌，保护与其相互依存的自然和人文景观，维护历史文化遗产的真实性</w:t>
      </w:r>
      <w:r>
        <w:rPr>
          <w:rFonts w:hint="eastAsia" w:ascii="仿宋_GB2312" w:hAnsi="仿宋_GB2312" w:eastAsia="仿宋_GB2312" w:cs="仿宋_GB2312"/>
          <w:i w:val="0"/>
          <w:iCs w:val="0"/>
          <w:caps w:val="0"/>
          <w:color w:val="333333"/>
          <w:spacing w:val="0"/>
          <w:sz w:val="32"/>
          <w:szCs w:val="32"/>
          <w:lang w:eastAsia="zh-CN"/>
        </w:rPr>
        <w:t>、</w:t>
      </w:r>
      <w:r>
        <w:rPr>
          <w:rFonts w:hint="eastAsia" w:ascii="仿宋_GB2312" w:hAnsi="仿宋_GB2312" w:eastAsia="仿宋_GB2312" w:cs="仿宋_GB2312"/>
          <w:i w:val="0"/>
          <w:iCs w:val="0"/>
          <w:caps w:val="0"/>
          <w:color w:val="333333"/>
          <w:spacing w:val="0"/>
          <w:sz w:val="32"/>
          <w:szCs w:val="32"/>
        </w:rPr>
        <w:t>完整性</w:t>
      </w:r>
      <w:r>
        <w:rPr>
          <w:rFonts w:hint="eastAsia" w:ascii="仿宋_GB2312" w:hAnsi="仿宋_GB2312" w:eastAsia="仿宋_GB2312" w:cs="仿宋_GB2312"/>
          <w:i w:val="0"/>
          <w:iCs w:val="0"/>
          <w:caps w:val="0"/>
          <w:color w:val="333333"/>
          <w:spacing w:val="0"/>
          <w:sz w:val="32"/>
          <w:szCs w:val="32"/>
          <w:lang w:eastAsia="zh-CN"/>
        </w:rPr>
        <w:t>和可持续性</w:t>
      </w:r>
      <w:r>
        <w:rPr>
          <w:rFonts w:hint="eastAsia" w:ascii="仿宋_GB2312" w:hAnsi="仿宋_GB2312" w:eastAsia="仿宋_GB2312" w:cs="仿宋_GB2312"/>
          <w:i w:val="0"/>
          <w:iCs w:val="0"/>
          <w:caps w:val="0"/>
          <w:color w:val="333333"/>
          <w:spacing w:val="0"/>
          <w:sz w:val="32"/>
          <w:szCs w:val="32"/>
        </w:rPr>
        <w:t>。</w:t>
      </w:r>
    </w:p>
    <w:p w14:paraId="74AE2C0A">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105" w:beforeAutospacing="0" w:after="105" w:afterAutospacing="0" w:line="560" w:lineRule="exact"/>
        <w:ind w:left="0" w:right="0" w:firstLine="643" w:firstLineChars="200"/>
        <w:jc w:val="both"/>
        <w:textAlignment w:val="auto"/>
        <w:rPr>
          <w:rFonts w:hint="eastAsia" w:ascii="仿宋_GB2312" w:hAnsi="仿宋_GB2312" w:eastAsia="仿宋_GB2312" w:cs="仿宋_GB2312"/>
          <w:i w:val="0"/>
          <w:iCs w:val="0"/>
          <w:caps w:val="0"/>
          <w:color w:val="333333"/>
          <w:spacing w:val="0"/>
          <w:sz w:val="32"/>
          <w:szCs w:val="32"/>
        </w:rPr>
      </w:pPr>
      <w:r>
        <w:rPr>
          <w:rFonts w:hint="eastAsia" w:ascii="仿宋_GB2312" w:hAnsi="仿宋_GB2312" w:eastAsia="仿宋_GB2312" w:cs="仿宋_GB2312"/>
          <w:b/>
          <w:bCs/>
          <w:i w:val="0"/>
          <w:iCs w:val="0"/>
          <w:caps w:val="0"/>
          <w:color w:val="333333"/>
          <w:spacing w:val="0"/>
          <w:sz w:val="32"/>
          <w:szCs w:val="32"/>
        </w:rPr>
        <w:t>第</w:t>
      </w:r>
      <w:r>
        <w:rPr>
          <w:rFonts w:hint="eastAsia" w:ascii="仿宋_GB2312" w:hAnsi="仿宋_GB2312" w:eastAsia="仿宋_GB2312" w:cs="仿宋_GB2312"/>
          <w:b/>
          <w:bCs/>
          <w:i w:val="0"/>
          <w:iCs w:val="0"/>
          <w:caps w:val="0"/>
          <w:color w:val="333333"/>
          <w:spacing w:val="0"/>
          <w:sz w:val="32"/>
          <w:szCs w:val="32"/>
          <w:lang w:eastAsia="zh-CN"/>
        </w:rPr>
        <w:t>四</w:t>
      </w:r>
      <w:r>
        <w:rPr>
          <w:rFonts w:hint="eastAsia" w:ascii="仿宋_GB2312" w:hAnsi="仿宋_GB2312" w:eastAsia="仿宋_GB2312" w:cs="仿宋_GB2312"/>
          <w:b/>
          <w:bCs/>
          <w:i w:val="0"/>
          <w:iCs w:val="0"/>
          <w:caps w:val="0"/>
          <w:color w:val="333333"/>
          <w:spacing w:val="0"/>
          <w:sz w:val="32"/>
          <w:szCs w:val="32"/>
        </w:rPr>
        <w:t>条</w:t>
      </w:r>
      <w:r>
        <w:rPr>
          <w:rFonts w:hint="eastAsia" w:ascii="仿宋_GB2312" w:hAnsi="仿宋_GB2312" w:eastAsia="仿宋_GB2312" w:cs="仿宋_GB2312"/>
          <w:i w:val="0"/>
          <w:iCs w:val="0"/>
          <w:caps w:val="0"/>
          <w:color w:val="333333"/>
          <w:spacing w:val="0"/>
          <w:sz w:val="32"/>
          <w:szCs w:val="32"/>
          <w:lang w:val="en-US" w:eastAsia="zh-CN"/>
        </w:rPr>
        <w:t xml:space="preserve"> 市人民政府</w:t>
      </w:r>
      <w:r>
        <w:rPr>
          <w:rFonts w:hint="eastAsia" w:ascii="仿宋_GB2312" w:hAnsi="仿宋_GB2312" w:eastAsia="仿宋_GB2312" w:cs="仿宋_GB2312"/>
          <w:i w:val="0"/>
          <w:iCs w:val="0"/>
          <w:caps w:val="0"/>
          <w:color w:val="333333"/>
          <w:spacing w:val="0"/>
          <w:sz w:val="32"/>
          <w:szCs w:val="32"/>
          <w:lang w:eastAsia="zh-CN"/>
        </w:rPr>
        <w:t>加强对历史文化名城保护工作的领导</w:t>
      </w:r>
      <w:r>
        <w:rPr>
          <w:rFonts w:hint="eastAsia" w:ascii="仿宋_GB2312" w:hAnsi="仿宋_GB2312" w:eastAsia="仿宋_GB2312" w:cs="仿宋_GB2312"/>
          <w:i w:val="0"/>
          <w:iCs w:val="0"/>
          <w:caps w:val="0"/>
          <w:color w:val="333333"/>
          <w:spacing w:val="0"/>
          <w:sz w:val="32"/>
          <w:szCs w:val="32"/>
        </w:rPr>
        <w:t>，纳入国民经济和社会发展</w:t>
      </w:r>
      <w:r>
        <w:rPr>
          <w:rFonts w:hint="eastAsia" w:ascii="仿宋_GB2312" w:hAnsi="仿宋_GB2312" w:eastAsia="仿宋_GB2312" w:cs="仿宋_GB2312"/>
          <w:i w:val="0"/>
          <w:iCs w:val="0"/>
          <w:caps w:val="0"/>
          <w:color w:val="333333"/>
          <w:spacing w:val="0"/>
          <w:sz w:val="32"/>
          <w:szCs w:val="32"/>
          <w:lang w:eastAsia="zh-CN"/>
        </w:rPr>
        <w:t>计</w:t>
      </w:r>
      <w:r>
        <w:rPr>
          <w:rFonts w:hint="eastAsia" w:ascii="仿宋_GB2312" w:hAnsi="仿宋_GB2312" w:eastAsia="仿宋_GB2312" w:cs="仿宋_GB2312"/>
          <w:i w:val="0"/>
          <w:iCs w:val="0"/>
          <w:caps w:val="0"/>
          <w:color w:val="333333"/>
          <w:spacing w:val="0"/>
          <w:sz w:val="32"/>
          <w:szCs w:val="32"/>
        </w:rPr>
        <w:t>划，所需经费列入本级财政预算</w:t>
      </w:r>
      <w:r>
        <w:rPr>
          <w:rFonts w:hint="eastAsia" w:ascii="仿宋_GB2312" w:hAnsi="仿宋_GB2312" w:eastAsia="仿宋_GB2312" w:cs="仿宋_GB2312"/>
          <w:i w:val="0"/>
          <w:iCs w:val="0"/>
          <w:caps w:val="0"/>
          <w:color w:val="333333"/>
          <w:spacing w:val="0"/>
          <w:sz w:val="32"/>
          <w:szCs w:val="32"/>
          <w:lang w:eastAsia="zh-CN"/>
        </w:rPr>
        <w:t>，建立长期稳定的资金保障机制</w:t>
      </w:r>
      <w:r>
        <w:rPr>
          <w:rFonts w:hint="eastAsia" w:ascii="仿宋_GB2312" w:hAnsi="仿宋_GB2312" w:eastAsia="仿宋_GB2312" w:cs="仿宋_GB2312"/>
          <w:i w:val="0"/>
          <w:iCs w:val="0"/>
          <w:caps w:val="0"/>
          <w:color w:val="333333"/>
          <w:spacing w:val="0"/>
          <w:sz w:val="32"/>
          <w:szCs w:val="32"/>
        </w:rPr>
        <w:t>。</w:t>
      </w:r>
    </w:p>
    <w:p w14:paraId="160DB73D">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105" w:beforeAutospacing="0" w:after="105" w:afterAutospacing="0" w:line="560" w:lineRule="exact"/>
        <w:ind w:left="0" w:right="0" w:firstLine="643" w:firstLineChars="200"/>
        <w:jc w:val="both"/>
        <w:textAlignment w:val="auto"/>
        <w:rPr>
          <w:rFonts w:hint="eastAsia" w:ascii="仿宋_GB2312" w:hAnsi="仿宋_GB2312" w:eastAsia="仿宋_GB2312" w:cs="仿宋_GB2312"/>
          <w:i w:val="0"/>
          <w:iCs w:val="0"/>
          <w:caps w:val="0"/>
          <w:color w:val="333333"/>
          <w:spacing w:val="0"/>
          <w:sz w:val="32"/>
          <w:szCs w:val="32"/>
          <w:lang w:val="en-US" w:eastAsia="zh-CN"/>
        </w:rPr>
      </w:pPr>
      <w:r>
        <w:rPr>
          <w:rFonts w:hint="eastAsia" w:ascii="仿宋_GB2312" w:hAnsi="仿宋_GB2312" w:eastAsia="仿宋_GB2312" w:cs="仿宋_GB2312"/>
          <w:b/>
          <w:bCs/>
          <w:i w:val="0"/>
          <w:iCs w:val="0"/>
          <w:caps w:val="0"/>
          <w:color w:val="333333"/>
          <w:spacing w:val="0"/>
          <w:sz w:val="32"/>
          <w:szCs w:val="32"/>
          <w:lang w:val="en-US" w:eastAsia="zh-CN"/>
        </w:rPr>
        <w:t>第五条</w:t>
      </w:r>
      <w:r>
        <w:rPr>
          <w:rFonts w:hint="eastAsia" w:ascii="仿宋_GB2312" w:hAnsi="仿宋_GB2312" w:eastAsia="仿宋_GB2312" w:cs="仿宋_GB2312"/>
          <w:i w:val="0"/>
          <w:iCs w:val="0"/>
          <w:caps w:val="0"/>
          <w:color w:val="333333"/>
          <w:spacing w:val="0"/>
          <w:sz w:val="32"/>
          <w:szCs w:val="32"/>
          <w:lang w:val="en-US" w:eastAsia="zh-CN"/>
        </w:rPr>
        <w:t xml:space="preserve"> 市人民政府建立完善名城保护工作协调机制，统筹解决名城保护工作中的重大问题。</w:t>
      </w:r>
    </w:p>
    <w:p w14:paraId="4C56C29C">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105" w:beforeAutospacing="0" w:after="105" w:afterAutospacing="0" w:line="560" w:lineRule="exact"/>
        <w:ind w:left="0" w:right="0" w:firstLine="640" w:firstLineChars="200"/>
        <w:jc w:val="both"/>
        <w:textAlignment w:val="auto"/>
        <w:rPr>
          <w:rFonts w:hint="eastAsia" w:ascii="仿宋_GB2312" w:hAnsi="仿宋_GB2312" w:eastAsia="仿宋_GB2312" w:cs="仿宋_GB2312"/>
          <w:i w:val="0"/>
          <w:iCs w:val="0"/>
          <w:caps w:val="0"/>
          <w:color w:val="333333"/>
          <w:spacing w:val="0"/>
          <w:sz w:val="32"/>
          <w:szCs w:val="32"/>
          <w:lang w:val="en-US" w:eastAsia="zh-CN"/>
        </w:rPr>
      </w:pPr>
      <w:r>
        <w:rPr>
          <w:rFonts w:hint="eastAsia" w:ascii="仿宋_GB2312" w:hAnsi="仿宋_GB2312" w:eastAsia="仿宋_GB2312" w:cs="仿宋_GB2312"/>
          <w:i w:val="0"/>
          <w:iCs w:val="0"/>
          <w:caps w:val="0"/>
          <w:color w:val="333333"/>
          <w:spacing w:val="0"/>
          <w:sz w:val="32"/>
          <w:szCs w:val="32"/>
          <w:lang w:val="en-US" w:eastAsia="zh-CN"/>
        </w:rPr>
        <w:t>市名城办负责具体保护工作的统筹、指导、协调、监督，主要履行以下职责：</w:t>
      </w:r>
    </w:p>
    <w:p w14:paraId="62760F9E">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105" w:beforeAutospacing="0" w:after="105" w:afterAutospacing="0" w:line="560" w:lineRule="exact"/>
        <w:ind w:left="0" w:right="0" w:firstLine="640" w:firstLineChars="200"/>
        <w:jc w:val="both"/>
        <w:textAlignment w:val="auto"/>
        <w:rPr>
          <w:rFonts w:hint="eastAsia" w:ascii="仿宋_GB2312" w:hAnsi="仿宋_GB2312" w:eastAsia="仿宋_GB2312" w:cs="仿宋_GB2312"/>
          <w:i w:val="0"/>
          <w:iCs w:val="0"/>
          <w:caps w:val="0"/>
          <w:color w:val="333333"/>
          <w:spacing w:val="0"/>
          <w:sz w:val="32"/>
          <w:szCs w:val="32"/>
          <w:lang w:val="en-US" w:eastAsia="zh-CN"/>
        </w:rPr>
      </w:pPr>
      <w:r>
        <w:rPr>
          <w:rFonts w:hint="eastAsia" w:ascii="仿宋_GB2312" w:hAnsi="仿宋_GB2312" w:eastAsia="仿宋_GB2312" w:cs="仿宋_GB2312"/>
          <w:i w:val="0"/>
          <w:iCs w:val="0"/>
          <w:caps w:val="0"/>
          <w:color w:val="333333"/>
          <w:spacing w:val="0"/>
          <w:sz w:val="32"/>
          <w:szCs w:val="32"/>
          <w:lang w:val="en-US" w:eastAsia="zh-CN"/>
        </w:rPr>
        <w:t>（一）贯彻执行相关法律、法规、规章和政策；</w:t>
      </w:r>
    </w:p>
    <w:p w14:paraId="5BE7A56D">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105" w:beforeAutospacing="0" w:after="105" w:afterAutospacing="0" w:line="560" w:lineRule="exact"/>
        <w:ind w:left="0" w:right="0" w:firstLine="640" w:firstLineChars="200"/>
        <w:jc w:val="both"/>
        <w:textAlignment w:val="auto"/>
        <w:rPr>
          <w:rFonts w:hint="eastAsia" w:ascii="仿宋_GB2312" w:hAnsi="仿宋_GB2312" w:eastAsia="仿宋_GB2312" w:cs="仿宋_GB2312"/>
          <w:i w:val="0"/>
          <w:iCs w:val="0"/>
          <w:caps w:val="0"/>
          <w:color w:val="333333"/>
          <w:spacing w:val="0"/>
          <w:sz w:val="32"/>
          <w:szCs w:val="32"/>
          <w:lang w:val="en-US" w:eastAsia="zh-CN"/>
        </w:rPr>
      </w:pPr>
      <w:r>
        <w:rPr>
          <w:rFonts w:hint="eastAsia" w:ascii="仿宋_GB2312" w:hAnsi="仿宋_GB2312" w:eastAsia="仿宋_GB2312" w:cs="仿宋_GB2312"/>
          <w:i w:val="0"/>
          <w:iCs w:val="0"/>
          <w:caps w:val="0"/>
          <w:color w:val="333333"/>
          <w:spacing w:val="0"/>
          <w:sz w:val="32"/>
          <w:szCs w:val="32"/>
          <w:lang w:val="en-US" w:eastAsia="zh-CN"/>
        </w:rPr>
        <w:t>（二）统筹协调指导全市名城、街区、名镇、名村（传统村落）等保护利用工作；</w:t>
      </w:r>
    </w:p>
    <w:p w14:paraId="25F21655">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105" w:beforeAutospacing="0" w:after="105" w:afterAutospacing="0" w:line="560" w:lineRule="exact"/>
        <w:ind w:left="0" w:right="0" w:firstLine="640" w:firstLineChars="200"/>
        <w:jc w:val="both"/>
        <w:textAlignment w:val="auto"/>
        <w:rPr>
          <w:rFonts w:hint="eastAsia" w:ascii="仿宋_GB2312" w:hAnsi="仿宋_GB2312" w:eastAsia="仿宋_GB2312" w:cs="仿宋_GB2312"/>
          <w:i w:val="0"/>
          <w:iCs w:val="0"/>
          <w:caps w:val="0"/>
          <w:color w:val="333333"/>
          <w:spacing w:val="0"/>
          <w:sz w:val="32"/>
          <w:szCs w:val="32"/>
          <w:lang w:val="en-US" w:eastAsia="zh-CN"/>
        </w:rPr>
      </w:pPr>
      <w:r>
        <w:rPr>
          <w:rFonts w:hint="eastAsia" w:ascii="仿宋_GB2312" w:hAnsi="仿宋_GB2312" w:eastAsia="仿宋_GB2312" w:cs="仿宋_GB2312"/>
          <w:i w:val="0"/>
          <w:iCs w:val="0"/>
          <w:caps w:val="0"/>
          <w:color w:val="333333"/>
          <w:spacing w:val="0"/>
          <w:sz w:val="32"/>
          <w:szCs w:val="32"/>
          <w:lang w:val="en-US" w:eastAsia="zh-CN"/>
        </w:rPr>
        <w:t>（三）参与保护控制范围内建设项目的规划审核工作，并进行过程指导和监督；</w:t>
      </w:r>
    </w:p>
    <w:p w14:paraId="42449C67">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105" w:beforeAutospacing="0" w:after="105" w:afterAutospacing="0" w:line="560" w:lineRule="exact"/>
        <w:ind w:left="0" w:right="0" w:firstLine="640" w:firstLineChars="200"/>
        <w:jc w:val="both"/>
        <w:textAlignment w:val="auto"/>
        <w:rPr>
          <w:rFonts w:hint="eastAsia" w:ascii="仿宋_GB2312" w:hAnsi="仿宋_GB2312" w:eastAsia="仿宋_GB2312" w:cs="仿宋_GB2312"/>
          <w:i w:val="0"/>
          <w:iCs w:val="0"/>
          <w:caps w:val="0"/>
          <w:color w:val="333333"/>
          <w:spacing w:val="0"/>
          <w:sz w:val="32"/>
          <w:szCs w:val="32"/>
          <w:lang w:val="en-US" w:eastAsia="zh-CN"/>
        </w:rPr>
      </w:pPr>
      <w:r>
        <w:rPr>
          <w:rFonts w:hint="eastAsia" w:ascii="仿宋_GB2312" w:hAnsi="仿宋_GB2312" w:eastAsia="仿宋_GB2312" w:cs="仿宋_GB2312"/>
          <w:i w:val="0"/>
          <w:iCs w:val="0"/>
          <w:caps w:val="0"/>
          <w:color w:val="333333"/>
          <w:spacing w:val="0"/>
          <w:sz w:val="32"/>
          <w:szCs w:val="32"/>
          <w:lang w:val="en-US" w:eastAsia="zh-CN"/>
        </w:rPr>
        <w:t>（四）牵头研究制定有关名城保护的政策和措施，组织实施和管理历史文化遗迹的确定、保护、利用等；</w:t>
      </w:r>
    </w:p>
    <w:p w14:paraId="085AD4FE">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105" w:beforeAutospacing="0" w:after="105" w:afterAutospacing="0" w:line="560" w:lineRule="exact"/>
        <w:ind w:left="0" w:right="0" w:firstLine="640" w:firstLineChars="200"/>
        <w:jc w:val="both"/>
        <w:textAlignment w:val="auto"/>
        <w:rPr>
          <w:rFonts w:hint="eastAsia" w:ascii="仿宋_GB2312" w:hAnsi="仿宋_GB2312" w:eastAsia="仿宋_GB2312" w:cs="仿宋_GB2312"/>
          <w:i w:val="0"/>
          <w:iCs w:val="0"/>
          <w:caps w:val="0"/>
          <w:color w:val="333333"/>
          <w:spacing w:val="0"/>
          <w:sz w:val="32"/>
          <w:szCs w:val="32"/>
          <w:lang w:val="en-US" w:eastAsia="zh-CN"/>
        </w:rPr>
      </w:pPr>
      <w:r>
        <w:rPr>
          <w:rFonts w:hint="eastAsia" w:ascii="仿宋_GB2312" w:hAnsi="仿宋_GB2312" w:eastAsia="仿宋_GB2312" w:cs="仿宋_GB2312"/>
          <w:i w:val="0"/>
          <w:iCs w:val="0"/>
          <w:caps w:val="0"/>
          <w:color w:val="333333"/>
          <w:spacing w:val="0"/>
          <w:sz w:val="32"/>
          <w:szCs w:val="32"/>
          <w:lang w:val="en-US" w:eastAsia="zh-CN"/>
        </w:rPr>
        <w:t>（五）督促保护专项资金的落实和使用；</w:t>
      </w:r>
    </w:p>
    <w:p w14:paraId="53BC1161">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105" w:beforeAutospacing="0" w:after="105" w:afterAutospacing="0" w:line="560" w:lineRule="exact"/>
        <w:ind w:left="0" w:right="0" w:firstLine="640" w:firstLineChars="200"/>
        <w:jc w:val="both"/>
        <w:textAlignment w:val="auto"/>
        <w:rPr>
          <w:rFonts w:hint="eastAsia" w:ascii="仿宋_GB2312" w:hAnsi="仿宋_GB2312" w:eastAsia="仿宋_GB2312" w:cs="仿宋_GB2312"/>
          <w:i w:val="0"/>
          <w:iCs w:val="0"/>
          <w:caps w:val="0"/>
          <w:color w:val="333333"/>
          <w:spacing w:val="0"/>
          <w:sz w:val="32"/>
          <w:szCs w:val="32"/>
        </w:rPr>
      </w:pPr>
      <w:r>
        <w:rPr>
          <w:rFonts w:hint="eastAsia" w:ascii="仿宋_GB2312" w:hAnsi="仿宋_GB2312" w:eastAsia="仿宋_GB2312" w:cs="仿宋_GB2312"/>
          <w:i w:val="0"/>
          <w:iCs w:val="0"/>
          <w:caps w:val="0"/>
          <w:color w:val="333333"/>
          <w:spacing w:val="0"/>
          <w:sz w:val="32"/>
          <w:szCs w:val="32"/>
          <w:lang w:val="en-US" w:eastAsia="zh-CN"/>
        </w:rPr>
        <w:t>（六）承办市委、市政府交办的其他事项。</w:t>
      </w:r>
    </w:p>
    <w:p w14:paraId="48C8EE1D">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105" w:beforeAutospacing="0" w:after="105" w:afterAutospacing="0" w:line="560" w:lineRule="exact"/>
        <w:ind w:left="0" w:right="0" w:firstLine="640" w:firstLineChars="200"/>
        <w:jc w:val="both"/>
        <w:textAlignment w:val="auto"/>
        <w:rPr>
          <w:rFonts w:hint="eastAsia" w:ascii="仿宋_GB2312" w:hAnsi="仿宋_GB2312" w:eastAsia="仿宋_GB2312" w:cs="仿宋_GB2312"/>
          <w:i w:val="0"/>
          <w:iCs w:val="0"/>
          <w:caps w:val="0"/>
          <w:color w:val="333333"/>
          <w:spacing w:val="0"/>
          <w:sz w:val="32"/>
          <w:szCs w:val="32"/>
          <w:lang w:val="en-US" w:eastAsia="zh-CN"/>
        </w:rPr>
      </w:pPr>
      <w:r>
        <w:rPr>
          <w:rFonts w:hint="eastAsia" w:ascii="仿宋_GB2312" w:hAnsi="仿宋_GB2312" w:eastAsia="仿宋_GB2312" w:cs="仿宋_GB2312"/>
          <w:i w:val="0"/>
          <w:iCs w:val="0"/>
          <w:caps w:val="0"/>
          <w:color w:val="333333"/>
          <w:spacing w:val="0"/>
          <w:sz w:val="32"/>
          <w:szCs w:val="32"/>
          <w:lang w:val="en-US" w:eastAsia="zh-CN"/>
        </w:rPr>
        <w:t>资规、文体旅、住建、发改、财政、城管、生态环境、交通运输、农业农村、水务、教育、工业和信息化、民政、人社、商务、公安、应急管理、消防救援等部门按照各自职责，协同做好名城、街区、名镇、名村（传统村落）等保护工作。</w:t>
      </w:r>
    </w:p>
    <w:p w14:paraId="6F62F70D">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105" w:beforeAutospacing="0" w:after="105" w:afterAutospacing="0" w:line="560" w:lineRule="exact"/>
        <w:ind w:left="0" w:right="0" w:firstLine="643" w:firstLineChars="200"/>
        <w:jc w:val="both"/>
        <w:textAlignment w:val="auto"/>
        <w:rPr>
          <w:rFonts w:hint="eastAsia" w:ascii="仿宋_GB2312" w:hAnsi="仿宋_GB2312" w:eastAsia="仿宋_GB2312" w:cs="仿宋_GB2312"/>
          <w:i w:val="0"/>
          <w:iCs w:val="0"/>
          <w:caps w:val="0"/>
          <w:color w:val="333333"/>
          <w:spacing w:val="0"/>
          <w:sz w:val="32"/>
          <w:szCs w:val="32"/>
        </w:rPr>
      </w:pPr>
      <w:r>
        <w:rPr>
          <w:rFonts w:hint="eastAsia" w:ascii="仿宋_GB2312" w:hAnsi="仿宋_GB2312" w:eastAsia="仿宋_GB2312" w:cs="仿宋_GB2312"/>
          <w:b/>
          <w:bCs/>
          <w:i w:val="0"/>
          <w:iCs w:val="0"/>
          <w:caps w:val="0"/>
          <w:color w:val="333333"/>
          <w:spacing w:val="0"/>
          <w:sz w:val="32"/>
          <w:szCs w:val="32"/>
          <w:lang w:val="en-US" w:eastAsia="zh-CN"/>
        </w:rPr>
        <w:t xml:space="preserve">第六条 </w:t>
      </w:r>
      <w:r>
        <w:rPr>
          <w:rFonts w:hint="eastAsia" w:ascii="仿宋_GB2312" w:hAnsi="仿宋_GB2312" w:eastAsia="仿宋_GB2312" w:cs="仿宋_GB2312"/>
          <w:i w:val="0"/>
          <w:iCs w:val="0"/>
          <w:caps w:val="0"/>
          <w:color w:val="333333"/>
          <w:spacing w:val="0"/>
          <w:sz w:val="32"/>
          <w:szCs w:val="32"/>
        </w:rPr>
        <w:t>历史城区的保护工作由</w:t>
      </w:r>
      <w:r>
        <w:rPr>
          <w:rFonts w:hint="eastAsia" w:ascii="仿宋_GB2312" w:hAnsi="仿宋_GB2312" w:eastAsia="仿宋_GB2312" w:cs="仿宋_GB2312"/>
          <w:i w:val="0"/>
          <w:iCs w:val="0"/>
          <w:caps w:val="0"/>
          <w:color w:val="333333"/>
          <w:spacing w:val="0"/>
          <w:sz w:val="32"/>
          <w:szCs w:val="32"/>
          <w:lang w:eastAsia="zh-CN"/>
        </w:rPr>
        <w:t>虞山街道</w:t>
      </w:r>
      <w:r>
        <w:rPr>
          <w:rFonts w:hint="eastAsia" w:ascii="仿宋_GB2312" w:hAnsi="仿宋_GB2312" w:eastAsia="仿宋_GB2312" w:cs="仿宋_GB2312"/>
          <w:i w:val="0"/>
          <w:iCs w:val="0"/>
          <w:caps w:val="0"/>
          <w:color w:val="333333"/>
          <w:spacing w:val="0"/>
          <w:sz w:val="32"/>
          <w:szCs w:val="32"/>
        </w:rPr>
        <w:t>具体组织开展。历史城区以外其他区域的保护工作，由所在</w:t>
      </w:r>
      <w:r>
        <w:rPr>
          <w:rFonts w:hint="eastAsia" w:ascii="仿宋_GB2312" w:hAnsi="仿宋_GB2312" w:eastAsia="仿宋_GB2312" w:cs="仿宋_GB2312"/>
          <w:i w:val="0"/>
          <w:iCs w:val="0"/>
          <w:caps w:val="0"/>
          <w:color w:val="333333"/>
          <w:spacing w:val="0"/>
          <w:sz w:val="32"/>
          <w:szCs w:val="32"/>
          <w:lang w:eastAsia="zh-CN"/>
        </w:rPr>
        <w:t>镇</w:t>
      </w:r>
      <w:r>
        <w:rPr>
          <w:rFonts w:hint="eastAsia" w:ascii="仿宋_GB2312" w:hAnsi="仿宋_GB2312" w:eastAsia="仿宋_GB2312" w:cs="仿宋_GB2312"/>
          <w:i w:val="0"/>
          <w:iCs w:val="0"/>
          <w:caps w:val="0"/>
          <w:color w:val="333333"/>
          <w:spacing w:val="0"/>
          <w:sz w:val="32"/>
          <w:szCs w:val="32"/>
        </w:rPr>
        <w:t>（</w:t>
      </w:r>
      <w:r>
        <w:rPr>
          <w:rFonts w:hint="eastAsia" w:ascii="仿宋_GB2312" w:hAnsi="仿宋_GB2312" w:eastAsia="仿宋_GB2312" w:cs="仿宋_GB2312"/>
          <w:i w:val="0"/>
          <w:iCs w:val="0"/>
          <w:caps w:val="0"/>
          <w:color w:val="333333"/>
          <w:spacing w:val="0"/>
          <w:sz w:val="32"/>
          <w:szCs w:val="32"/>
          <w:lang w:eastAsia="zh-CN"/>
        </w:rPr>
        <w:t>街道</w:t>
      </w:r>
      <w:r>
        <w:rPr>
          <w:rFonts w:hint="eastAsia" w:ascii="仿宋_GB2312" w:hAnsi="仿宋_GB2312" w:eastAsia="仿宋_GB2312" w:cs="仿宋_GB2312"/>
          <w:i w:val="0"/>
          <w:iCs w:val="0"/>
          <w:caps w:val="0"/>
          <w:color w:val="333333"/>
          <w:spacing w:val="0"/>
          <w:sz w:val="32"/>
          <w:szCs w:val="32"/>
        </w:rPr>
        <w:t>）人民政府具体组织开展。</w:t>
      </w:r>
    </w:p>
    <w:p w14:paraId="74037E41">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105" w:beforeAutospacing="0" w:after="105" w:afterAutospacing="0" w:line="560" w:lineRule="exact"/>
        <w:ind w:left="0" w:right="0" w:firstLine="643" w:firstLineChars="200"/>
        <w:jc w:val="both"/>
        <w:textAlignment w:val="auto"/>
        <w:rPr>
          <w:rFonts w:hint="eastAsia" w:ascii="仿宋_GB2312" w:hAnsi="仿宋_GB2312" w:eastAsia="仿宋_GB2312" w:cs="仿宋_GB2312"/>
          <w:i w:val="0"/>
          <w:iCs w:val="0"/>
          <w:caps w:val="0"/>
          <w:color w:val="333333"/>
          <w:spacing w:val="0"/>
          <w:sz w:val="32"/>
          <w:szCs w:val="32"/>
          <w:lang w:val="en-US" w:eastAsia="zh-CN"/>
        </w:rPr>
      </w:pPr>
      <w:r>
        <w:rPr>
          <w:rFonts w:hint="eastAsia" w:ascii="仿宋_GB2312" w:hAnsi="仿宋_GB2312" w:eastAsia="仿宋_GB2312" w:cs="仿宋_GB2312"/>
          <w:b/>
          <w:bCs/>
          <w:i w:val="0"/>
          <w:iCs w:val="0"/>
          <w:caps w:val="0"/>
          <w:color w:val="333333"/>
          <w:spacing w:val="0"/>
          <w:sz w:val="32"/>
          <w:szCs w:val="32"/>
          <w:lang w:val="en-US" w:eastAsia="zh-CN"/>
        </w:rPr>
        <w:t>第七条</w:t>
      </w:r>
      <w:r>
        <w:rPr>
          <w:rFonts w:hint="eastAsia" w:ascii="仿宋_GB2312" w:hAnsi="仿宋_GB2312" w:eastAsia="仿宋_GB2312" w:cs="仿宋_GB2312"/>
          <w:i w:val="0"/>
          <w:iCs w:val="0"/>
          <w:caps w:val="0"/>
          <w:color w:val="333333"/>
          <w:spacing w:val="0"/>
          <w:sz w:val="32"/>
          <w:szCs w:val="32"/>
          <w:lang w:val="en-US" w:eastAsia="zh-CN"/>
        </w:rPr>
        <w:t xml:space="preserve"> 常熟历史文化名城保护范围分为市域和历史城区两个层次，市域总面积约1276.32平方公里；历史城区范围为鸭潭头、颜港河、东市河、三弄、穆家弄、花园浜路、义庄弄、田头廊、西南河、西市河、西门湾、虞山古城墙、菱塘沿围合的区域，总面积约2.44平方公里。</w:t>
      </w:r>
    </w:p>
    <w:p w14:paraId="3B30A8FB">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105" w:beforeAutospacing="0" w:after="105" w:afterAutospacing="0" w:line="560" w:lineRule="exact"/>
        <w:ind w:left="0" w:right="0" w:firstLine="643" w:firstLineChars="200"/>
        <w:jc w:val="both"/>
        <w:textAlignment w:val="auto"/>
        <w:rPr>
          <w:rFonts w:hint="eastAsia" w:ascii="仿宋_GB2312" w:hAnsi="仿宋_GB2312" w:eastAsia="仿宋_GB2312" w:cs="仿宋_GB2312"/>
          <w:i w:val="0"/>
          <w:iCs w:val="0"/>
          <w:caps w:val="0"/>
          <w:color w:val="333333"/>
          <w:spacing w:val="0"/>
          <w:sz w:val="32"/>
          <w:szCs w:val="32"/>
          <w:lang w:val="en-US" w:eastAsia="zh-CN"/>
        </w:rPr>
      </w:pPr>
      <w:r>
        <w:rPr>
          <w:rFonts w:hint="eastAsia" w:ascii="仿宋_GB2312" w:hAnsi="仿宋_GB2312" w:eastAsia="仿宋_GB2312" w:cs="仿宋_GB2312"/>
          <w:b/>
          <w:bCs/>
          <w:i w:val="0"/>
          <w:iCs w:val="0"/>
          <w:caps w:val="0"/>
          <w:color w:val="333333"/>
          <w:spacing w:val="0"/>
          <w:sz w:val="32"/>
          <w:szCs w:val="32"/>
          <w:lang w:val="en-US" w:eastAsia="zh-CN"/>
        </w:rPr>
        <w:t>第八条</w:t>
      </w:r>
      <w:r>
        <w:rPr>
          <w:rFonts w:hint="eastAsia" w:ascii="仿宋_GB2312" w:hAnsi="仿宋_GB2312" w:eastAsia="仿宋_GB2312" w:cs="仿宋_GB2312"/>
          <w:i w:val="0"/>
          <w:iCs w:val="0"/>
          <w:caps w:val="0"/>
          <w:color w:val="333333"/>
          <w:spacing w:val="0"/>
          <w:sz w:val="32"/>
          <w:szCs w:val="32"/>
          <w:lang w:val="en-US" w:eastAsia="zh-CN"/>
        </w:rPr>
        <w:t xml:space="preserve"> 常熟历史文化名城的保护内容主要包括：</w:t>
      </w:r>
    </w:p>
    <w:p w14:paraId="4ADF00BC">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105" w:beforeAutospacing="0" w:after="105" w:afterAutospacing="0" w:line="560" w:lineRule="exact"/>
        <w:ind w:left="0" w:right="0" w:firstLine="640" w:firstLineChars="200"/>
        <w:jc w:val="both"/>
        <w:textAlignment w:val="auto"/>
        <w:rPr>
          <w:rFonts w:hint="eastAsia" w:ascii="仿宋_GB2312" w:hAnsi="仿宋_GB2312" w:eastAsia="仿宋_GB2312" w:cs="仿宋_GB2312"/>
          <w:i w:val="0"/>
          <w:iCs w:val="0"/>
          <w:caps w:val="0"/>
          <w:color w:val="333333"/>
          <w:spacing w:val="0"/>
          <w:sz w:val="32"/>
          <w:szCs w:val="32"/>
          <w:lang w:val="en-US" w:eastAsia="zh-CN"/>
        </w:rPr>
      </w:pPr>
      <w:r>
        <w:rPr>
          <w:rFonts w:hint="eastAsia" w:ascii="仿宋_GB2312" w:hAnsi="仿宋_GB2312" w:eastAsia="仿宋_GB2312" w:cs="仿宋_GB2312"/>
          <w:i w:val="0"/>
          <w:iCs w:val="0"/>
          <w:caps w:val="0"/>
          <w:color w:val="333333"/>
          <w:spacing w:val="0"/>
          <w:sz w:val="32"/>
          <w:szCs w:val="32"/>
          <w:lang w:val="en-US" w:eastAsia="zh-CN"/>
        </w:rPr>
        <w:t>（一）市域范围内的自然山水格局、“塘浦圩田”体系及历史环境；</w:t>
      </w:r>
    </w:p>
    <w:p w14:paraId="669867C5">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105" w:beforeAutospacing="0" w:after="105" w:afterAutospacing="0" w:line="560" w:lineRule="exact"/>
        <w:ind w:left="0" w:right="0" w:firstLine="640" w:firstLineChars="200"/>
        <w:jc w:val="both"/>
        <w:textAlignment w:val="auto"/>
        <w:rPr>
          <w:rFonts w:hint="eastAsia" w:ascii="仿宋_GB2312" w:hAnsi="仿宋_GB2312" w:eastAsia="仿宋_GB2312" w:cs="仿宋_GB2312"/>
          <w:i w:val="0"/>
          <w:iCs w:val="0"/>
          <w:caps w:val="0"/>
          <w:color w:val="333333"/>
          <w:spacing w:val="0"/>
          <w:sz w:val="32"/>
          <w:szCs w:val="32"/>
          <w:lang w:val="en-US" w:eastAsia="zh-CN"/>
        </w:rPr>
      </w:pPr>
      <w:r>
        <w:rPr>
          <w:rFonts w:hint="eastAsia" w:ascii="仿宋_GB2312" w:hAnsi="仿宋_GB2312" w:eastAsia="仿宋_GB2312" w:cs="仿宋_GB2312"/>
          <w:i w:val="0"/>
          <w:iCs w:val="0"/>
          <w:caps w:val="0"/>
          <w:color w:val="333333"/>
          <w:spacing w:val="0"/>
          <w:sz w:val="32"/>
          <w:szCs w:val="32"/>
          <w:lang w:val="en-US" w:eastAsia="zh-CN"/>
        </w:rPr>
        <w:t>（二）历史城区、历史乡镇、历史村落的传统格局和传统风貌，以及相互依存的自然景观和环境；</w:t>
      </w:r>
    </w:p>
    <w:p w14:paraId="46163F72">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105" w:beforeAutospacing="0" w:after="105" w:afterAutospacing="0" w:line="560" w:lineRule="exact"/>
        <w:ind w:left="0" w:right="0" w:firstLine="640" w:firstLineChars="200"/>
        <w:jc w:val="both"/>
        <w:textAlignment w:val="auto"/>
        <w:rPr>
          <w:rFonts w:hint="eastAsia" w:ascii="仿宋_GB2312" w:hAnsi="仿宋_GB2312" w:eastAsia="仿宋_GB2312" w:cs="仿宋_GB2312"/>
          <w:i w:val="0"/>
          <w:iCs w:val="0"/>
          <w:caps w:val="0"/>
          <w:color w:val="333333"/>
          <w:spacing w:val="0"/>
          <w:sz w:val="32"/>
          <w:szCs w:val="32"/>
          <w:lang w:val="en-US" w:eastAsia="zh-CN"/>
        </w:rPr>
      </w:pPr>
      <w:r>
        <w:rPr>
          <w:rFonts w:hint="eastAsia" w:ascii="仿宋_GB2312" w:hAnsi="仿宋_GB2312" w:eastAsia="仿宋_GB2312" w:cs="仿宋_GB2312"/>
          <w:i w:val="0"/>
          <w:iCs w:val="0"/>
          <w:caps w:val="0"/>
          <w:color w:val="333333"/>
          <w:spacing w:val="0"/>
          <w:sz w:val="32"/>
          <w:szCs w:val="32"/>
          <w:lang w:val="en-US" w:eastAsia="zh-CN"/>
        </w:rPr>
        <w:t>（三）历史文化街区、历史地段等；</w:t>
      </w:r>
    </w:p>
    <w:p w14:paraId="63F7501D">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105" w:beforeAutospacing="0" w:after="105" w:afterAutospacing="0" w:line="560" w:lineRule="exact"/>
        <w:ind w:left="0" w:right="0" w:firstLine="640" w:firstLineChars="200"/>
        <w:jc w:val="both"/>
        <w:textAlignment w:val="auto"/>
        <w:rPr>
          <w:rFonts w:hint="eastAsia" w:ascii="仿宋_GB2312" w:hAnsi="仿宋_GB2312" w:eastAsia="仿宋_GB2312" w:cs="仿宋_GB2312"/>
          <w:i w:val="0"/>
          <w:iCs w:val="0"/>
          <w:caps w:val="0"/>
          <w:color w:val="333333"/>
          <w:spacing w:val="0"/>
          <w:sz w:val="32"/>
          <w:szCs w:val="32"/>
          <w:lang w:val="en-US" w:eastAsia="zh-CN"/>
        </w:rPr>
      </w:pPr>
      <w:r>
        <w:rPr>
          <w:rFonts w:hint="eastAsia" w:ascii="仿宋_GB2312" w:hAnsi="仿宋_GB2312" w:eastAsia="仿宋_GB2312" w:cs="仿宋_GB2312"/>
          <w:i w:val="0"/>
          <w:iCs w:val="0"/>
          <w:caps w:val="0"/>
          <w:color w:val="333333"/>
          <w:spacing w:val="0"/>
          <w:sz w:val="32"/>
          <w:szCs w:val="32"/>
          <w:lang w:val="en-US" w:eastAsia="zh-CN"/>
        </w:rPr>
        <w:t>（四）文物保护单位、已登记尚未公布为文物保护单位的不可移动文物；</w:t>
      </w:r>
    </w:p>
    <w:p w14:paraId="3B7CF654">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105" w:beforeAutospacing="0" w:after="105" w:afterAutospacing="0" w:line="560" w:lineRule="exact"/>
        <w:ind w:left="0" w:right="0" w:firstLine="640" w:firstLineChars="200"/>
        <w:jc w:val="both"/>
        <w:textAlignment w:val="auto"/>
        <w:rPr>
          <w:rFonts w:hint="eastAsia" w:ascii="仿宋_GB2312" w:hAnsi="仿宋_GB2312" w:eastAsia="仿宋_GB2312" w:cs="仿宋_GB2312"/>
          <w:i w:val="0"/>
          <w:iCs w:val="0"/>
          <w:caps w:val="0"/>
          <w:color w:val="333333"/>
          <w:spacing w:val="0"/>
          <w:sz w:val="32"/>
          <w:szCs w:val="32"/>
          <w:lang w:val="en-US" w:eastAsia="zh-CN"/>
        </w:rPr>
      </w:pPr>
      <w:r>
        <w:rPr>
          <w:rFonts w:hint="eastAsia" w:ascii="仿宋_GB2312" w:hAnsi="仿宋_GB2312" w:eastAsia="仿宋_GB2312" w:cs="仿宋_GB2312"/>
          <w:i w:val="0"/>
          <w:iCs w:val="0"/>
          <w:caps w:val="0"/>
          <w:color w:val="333333"/>
          <w:spacing w:val="0"/>
          <w:sz w:val="32"/>
          <w:szCs w:val="32"/>
          <w:lang w:val="en-US" w:eastAsia="zh-CN"/>
        </w:rPr>
        <w:t>（五）历史建筑及传统风貌建筑；</w:t>
      </w:r>
    </w:p>
    <w:p w14:paraId="38ED84B5">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105" w:beforeAutospacing="0" w:after="105" w:afterAutospacing="0" w:line="560" w:lineRule="exact"/>
        <w:ind w:left="0" w:right="0" w:firstLine="640" w:firstLineChars="200"/>
        <w:jc w:val="both"/>
        <w:textAlignment w:val="auto"/>
        <w:rPr>
          <w:rFonts w:hint="eastAsia" w:ascii="仿宋_GB2312" w:hAnsi="仿宋_GB2312" w:eastAsia="仿宋_GB2312" w:cs="仿宋_GB2312"/>
          <w:i w:val="0"/>
          <w:iCs w:val="0"/>
          <w:caps w:val="0"/>
          <w:color w:val="333333"/>
          <w:spacing w:val="0"/>
          <w:sz w:val="32"/>
          <w:szCs w:val="32"/>
          <w:lang w:val="en-US" w:eastAsia="zh-CN"/>
        </w:rPr>
      </w:pPr>
      <w:r>
        <w:rPr>
          <w:rFonts w:hint="eastAsia" w:ascii="仿宋_GB2312" w:hAnsi="仿宋_GB2312" w:eastAsia="仿宋_GB2312" w:cs="仿宋_GB2312"/>
          <w:i w:val="0"/>
          <w:iCs w:val="0"/>
          <w:caps w:val="0"/>
          <w:color w:val="333333"/>
          <w:spacing w:val="0"/>
          <w:sz w:val="32"/>
          <w:szCs w:val="32"/>
          <w:lang w:val="en-US" w:eastAsia="zh-CN"/>
        </w:rPr>
        <w:t>（六）反应历史风貌的古城墙、古井、古树名木等历史环境要素；</w:t>
      </w:r>
    </w:p>
    <w:p w14:paraId="523D4B24">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105" w:beforeAutospacing="0" w:after="105" w:afterAutospacing="0" w:line="560" w:lineRule="exact"/>
        <w:ind w:left="0" w:right="0" w:firstLine="640" w:firstLineChars="200"/>
        <w:jc w:val="both"/>
        <w:textAlignment w:val="auto"/>
        <w:rPr>
          <w:rFonts w:hint="eastAsia" w:ascii="仿宋_GB2312" w:hAnsi="仿宋_GB2312" w:eastAsia="仿宋_GB2312" w:cs="仿宋_GB2312"/>
          <w:i w:val="0"/>
          <w:iCs w:val="0"/>
          <w:caps w:val="0"/>
          <w:color w:val="333333"/>
          <w:spacing w:val="0"/>
          <w:sz w:val="32"/>
          <w:szCs w:val="32"/>
          <w:lang w:val="en-US" w:eastAsia="zh-CN"/>
        </w:rPr>
      </w:pPr>
      <w:r>
        <w:rPr>
          <w:rFonts w:hint="eastAsia" w:ascii="仿宋_GB2312" w:hAnsi="仿宋_GB2312" w:eastAsia="仿宋_GB2312" w:cs="仿宋_GB2312"/>
          <w:i w:val="0"/>
          <w:iCs w:val="0"/>
          <w:caps w:val="0"/>
          <w:color w:val="333333"/>
          <w:spacing w:val="0"/>
          <w:sz w:val="32"/>
          <w:szCs w:val="32"/>
          <w:lang w:val="en-US" w:eastAsia="zh-CN"/>
        </w:rPr>
        <w:t>（七）与历史文化密切相关的风景名胜、地貌水系等自然遗产与景观环境；</w:t>
      </w:r>
    </w:p>
    <w:p w14:paraId="714589B1">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105" w:beforeAutospacing="0" w:after="105" w:afterAutospacing="0" w:line="560" w:lineRule="exact"/>
        <w:ind w:left="0" w:right="0" w:firstLine="640" w:firstLineChars="200"/>
        <w:jc w:val="both"/>
        <w:textAlignment w:val="auto"/>
        <w:rPr>
          <w:rFonts w:hint="eastAsia" w:ascii="仿宋_GB2312" w:hAnsi="仿宋_GB2312" w:eastAsia="仿宋_GB2312" w:cs="仿宋_GB2312"/>
          <w:i w:val="0"/>
          <w:iCs w:val="0"/>
          <w:caps w:val="0"/>
          <w:color w:val="333333"/>
          <w:spacing w:val="0"/>
          <w:sz w:val="32"/>
          <w:szCs w:val="32"/>
          <w:lang w:val="en-US" w:eastAsia="zh-CN"/>
        </w:rPr>
      </w:pPr>
      <w:r>
        <w:rPr>
          <w:rFonts w:hint="eastAsia" w:ascii="仿宋_GB2312" w:hAnsi="仿宋_GB2312" w:eastAsia="仿宋_GB2312" w:cs="仿宋_GB2312"/>
          <w:i w:val="0"/>
          <w:iCs w:val="0"/>
          <w:caps w:val="0"/>
          <w:color w:val="333333"/>
          <w:spacing w:val="0"/>
          <w:sz w:val="32"/>
          <w:szCs w:val="32"/>
          <w:lang w:val="en-US" w:eastAsia="zh-CN"/>
        </w:rPr>
        <w:t>（八）传统技艺、传统美术、民间文学等非物质文化遗产。</w:t>
      </w:r>
    </w:p>
    <w:p w14:paraId="327546B2">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105" w:beforeAutospacing="0" w:after="105" w:afterAutospacing="0" w:line="560" w:lineRule="exact"/>
        <w:ind w:left="0" w:right="0" w:firstLine="643" w:firstLineChars="200"/>
        <w:jc w:val="both"/>
        <w:textAlignment w:val="auto"/>
        <w:rPr>
          <w:rFonts w:hint="eastAsia" w:ascii="仿宋_GB2312" w:hAnsi="仿宋_GB2312" w:eastAsia="仿宋_GB2312" w:cs="仿宋_GB2312"/>
          <w:i w:val="0"/>
          <w:iCs w:val="0"/>
          <w:caps w:val="0"/>
          <w:color w:val="333333"/>
          <w:spacing w:val="0"/>
          <w:sz w:val="32"/>
          <w:szCs w:val="32"/>
          <w:lang w:val="en-US" w:eastAsia="zh-CN"/>
        </w:rPr>
      </w:pPr>
      <w:r>
        <w:rPr>
          <w:rFonts w:hint="eastAsia" w:ascii="仿宋_GB2312" w:hAnsi="仿宋_GB2312" w:eastAsia="仿宋_GB2312" w:cs="仿宋_GB2312"/>
          <w:b/>
          <w:bCs/>
          <w:i w:val="0"/>
          <w:iCs w:val="0"/>
          <w:caps w:val="0"/>
          <w:color w:val="333333"/>
          <w:spacing w:val="0"/>
          <w:sz w:val="32"/>
          <w:szCs w:val="32"/>
          <w:lang w:val="en-US" w:eastAsia="zh-CN"/>
        </w:rPr>
        <w:t xml:space="preserve">第九条 </w:t>
      </w:r>
      <w:r>
        <w:rPr>
          <w:rFonts w:hint="eastAsia" w:ascii="仿宋_GB2312" w:hAnsi="仿宋_GB2312" w:eastAsia="仿宋_GB2312" w:cs="仿宋_GB2312"/>
          <w:i w:val="0"/>
          <w:iCs w:val="0"/>
          <w:caps w:val="0"/>
          <w:color w:val="333333"/>
          <w:spacing w:val="0"/>
          <w:sz w:val="32"/>
          <w:szCs w:val="32"/>
          <w:lang w:val="en-US" w:eastAsia="zh-CN"/>
        </w:rPr>
        <w:t>历史城区是名城保护的重点区域，严格保护历史城区“七溪流水皆通海，十里青山半入城”的山水城格局。整体保护和延续历史城区历史格局与传统风貌，重点保护历史文化街区及传统街巷，推进有机更新与城市修补。</w:t>
      </w:r>
    </w:p>
    <w:p w14:paraId="69FA773C">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105" w:beforeAutospacing="0" w:after="105" w:afterAutospacing="0" w:line="560" w:lineRule="exact"/>
        <w:ind w:left="0" w:right="0" w:firstLine="643" w:firstLineChars="200"/>
        <w:jc w:val="both"/>
        <w:textAlignment w:val="auto"/>
        <w:rPr>
          <w:rFonts w:hint="eastAsia" w:ascii="仿宋_GB2312" w:hAnsi="仿宋_GB2312" w:eastAsia="仿宋_GB2312" w:cs="仿宋_GB2312"/>
          <w:i w:val="0"/>
          <w:iCs w:val="0"/>
          <w:caps w:val="0"/>
          <w:color w:val="333333"/>
          <w:spacing w:val="0"/>
          <w:sz w:val="32"/>
          <w:szCs w:val="32"/>
          <w:lang w:val="en-US" w:eastAsia="zh-CN"/>
        </w:rPr>
      </w:pPr>
      <w:r>
        <w:rPr>
          <w:rFonts w:hint="eastAsia" w:ascii="仿宋_GB2312" w:hAnsi="仿宋_GB2312" w:eastAsia="仿宋_GB2312" w:cs="仿宋_GB2312"/>
          <w:b/>
          <w:bCs/>
          <w:i w:val="0"/>
          <w:iCs w:val="0"/>
          <w:caps w:val="0"/>
          <w:color w:val="333333"/>
          <w:spacing w:val="0"/>
          <w:sz w:val="32"/>
          <w:szCs w:val="32"/>
          <w:lang w:val="en-US" w:eastAsia="zh-CN"/>
        </w:rPr>
        <w:t>第十条</w:t>
      </w:r>
      <w:r>
        <w:rPr>
          <w:rFonts w:hint="eastAsia" w:ascii="仿宋_GB2312" w:hAnsi="仿宋_GB2312" w:eastAsia="仿宋_GB2312" w:cs="仿宋_GB2312"/>
          <w:i w:val="0"/>
          <w:iCs w:val="0"/>
          <w:caps w:val="0"/>
          <w:color w:val="333333"/>
          <w:spacing w:val="0"/>
          <w:sz w:val="32"/>
          <w:szCs w:val="32"/>
          <w:lang w:val="en-US" w:eastAsia="zh-CN"/>
        </w:rPr>
        <w:t xml:space="preserve"> 实行历史文化名城保护名录制度。保护名录应载明保护对象的名称、位置、形成时间和历史价值、文化价值、艺术价值、科学价值等内容，并向社会公布。</w:t>
      </w:r>
    </w:p>
    <w:p w14:paraId="13BEB5D4">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105" w:beforeAutospacing="0" w:after="105" w:afterAutospacing="0" w:line="560" w:lineRule="exact"/>
        <w:ind w:left="0" w:right="0" w:firstLine="640" w:firstLineChars="200"/>
        <w:jc w:val="both"/>
        <w:textAlignment w:val="auto"/>
        <w:rPr>
          <w:rFonts w:hint="eastAsia" w:ascii="仿宋_GB2312" w:hAnsi="仿宋_GB2312" w:eastAsia="仿宋_GB2312" w:cs="仿宋_GB2312"/>
          <w:i w:val="0"/>
          <w:iCs w:val="0"/>
          <w:caps w:val="0"/>
          <w:color w:val="333333"/>
          <w:spacing w:val="0"/>
          <w:sz w:val="32"/>
          <w:szCs w:val="32"/>
          <w:lang w:val="en-US" w:eastAsia="zh-CN"/>
        </w:rPr>
      </w:pPr>
      <w:r>
        <w:rPr>
          <w:rFonts w:hint="eastAsia" w:ascii="仿宋_GB2312" w:hAnsi="仿宋_GB2312" w:eastAsia="仿宋_GB2312" w:cs="仿宋_GB2312"/>
          <w:i w:val="0"/>
          <w:iCs w:val="0"/>
          <w:caps w:val="0"/>
          <w:color w:val="333333"/>
          <w:spacing w:val="0"/>
          <w:sz w:val="32"/>
          <w:szCs w:val="32"/>
          <w:lang w:val="en-US" w:eastAsia="zh-CN"/>
        </w:rPr>
        <w:t>市文体旅、名城办定期开展历史文化资源普查工作，实施文物保护单位、不可移动文物、历史建筑等申报和评定。</w:t>
      </w:r>
    </w:p>
    <w:p w14:paraId="6855CEC1">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105" w:beforeAutospacing="0" w:after="105" w:afterAutospacing="0" w:line="560" w:lineRule="exact"/>
        <w:ind w:left="0" w:right="0" w:firstLine="643" w:firstLineChars="200"/>
        <w:jc w:val="both"/>
        <w:textAlignment w:val="auto"/>
        <w:rPr>
          <w:rFonts w:hint="eastAsia" w:ascii="仿宋_GB2312" w:hAnsi="仿宋_GB2312" w:eastAsia="仿宋_GB2312" w:cs="仿宋_GB2312"/>
          <w:i w:val="0"/>
          <w:iCs w:val="0"/>
          <w:caps w:val="0"/>
          <w:color w:val="333333"/>
          <w:spacing w:val="0"/>
          <w:sz w:val="32"/>
          <w:szCs w:val="32"/>
          <w:lang w:val="en-US" w:eastAsia="zh-CN"/>
        </w:rPr>
      </w:pPr>
      <w:r>
        <w:rPr>
          <w:rFonts w:hint="eastAsia" w:ascii="仿宋_GB2312" w:hAnsi="仿宋_GB2312" w:eastAsia="仿宋_GB2312" w:cs="仿宋_GB2312"/>
          <w:b/>
          <w:bCs/>
          <w:i w:val="0"/>
          <w:iCs w:val="0"/>
          <w:caps w:val="0"/>
          <w:color w:val="333333"/>
          <w:spacing w:val="0"/>
          <w:sz w:val="32"/>
          <w:szCs w:val="32"/>
          <w:lang w:val="en-US" w:eastAsia="zh-CN"/>
        </w:rPr>
        <w:t>第十一条</w:t>
      </w:r>
      <w:r>
        <w:rPr>
          <w:rFonts w:hint="eastAsia" w:ascii="仿宋_GB2312" w:hAnsi="仿宋_GB2312" w:eastAsia="仿宋_GB2312" w:cs="仿宋_GB2312"/>
          <w:i w:val="0"/>
          <w:iCs w:val="0"/>
          <w:caps w:val="0"/>
          <w:color w:val="333333"/>
          <w:spacing w:val="0"/>
          <w:sz w:val="32"/>
          <w:szCs w:val="32"/>
          <w:lang w:val="en-US" w:eastAsia="zh-CN"/>
        </w:rPr>
        <w:t xml:space="preserve"> 市人民政府依法公布历史文化街区、文物保护单位、历史建筑、历史地段等保护对象名录，并设置保护标志，建立保护档案。任何单位和个人不得擅自设置、移动、涂改或者损毁保护标志。</w:t>
      </w:r>
    </w:p>
    <w:p w14:paraId="24A21BF2">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105" w:beforeAutospacing="0" w:after="105" w:afterAutospacing="0" w:line="560" w:lineRule="exact"/>
        <w:ind w:left="0" w:right="0" w:firstLine="643" w:firstLineChars="200"/>
        <w:jc w:val="both"/>
        <w:textAlignment w:val="auto"/>
        <w:rPr>
          <w:rFonts w:hint="eastAsia" w:ascii="仿宋_GB2312" w:hAnsi="仿宋_GB2312" w:eastAsia="仿宋_GB2312" w:cs="仿宋_GB2312"/>
          <w:i w:val="0"/>
          <w:iCs w:val="0"/>
          <w:caps w:val="0"/>
          <w:color w:val="333333"/>
          <w:spacing w:val="0"/>
          <w:sz w:val="32"/>
          <w:szCs w:val="32"/>
          <w:lang w:val="en-US" w:eastAsia="zh-CN"/>
        </w:rPr>
      </w:pPr>
      <w:r>
        <w:rPr>
          <w:rFonts w:hint="eastAsia" w:ascii="仿宋_GB2312" w:hAnsi="仿宋_GB2312" w:eastAsia="仿宋_GB2312" w:cs="仿宋_GB2312"/>
          <w:b/>
          <w:bCs/>
          <w:i w:val="0"/>
          <w:iCs w:val="0"/>
          <w:caps w:val="0"/>
          <w:color w:val="333333"/>
          <w:spacing w:val="0"/>
          <w:sz w:val="32"/>
          <w:szCs w:val="32"/>
          <w:lang w:val="en-US" w:eastAsia="zh-CN"/>
        </w:rPr>
        <w:t>第十二条</w:t>
      </w:r>
      <w:r>
        <w:rPr>
          <w:rFonts w:hint="eastAsia" w:ascii="仿宋_GB2312" w:hAnsi="仿宋_GB2312" w:eastAsia="仿宋_GB2312" w:cs="仿宋_GB2312"/>
          <w:i w:val="0"/>
          <w:iCs w:val="0"/>
          <w:caps w:val="0"/>
          <w:color w:val="333333"/>
          <w:spacing w:val="0"/>
          <w:sz w:val="32"/>
          <w:szCs w:val="32"/>
          <w:lang w:val="en-US" w:eastAsia="zh-CN"/>
        </w:rPr>
        <w:t xml:space="preserve"> 市名城办组织编制历史文化名城、街区相关保护规划。各镇（街道）人民政府组织编制历史文化名镇、名村（传统村落）相关保护规划。市资规局组织编制古城控制性详细规划和其他专项规划。</w:t>
      </w:r>
    </w:p>
    <w:p w14:paraId="07B5643C">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105" w:beforeAutospacing="0" w:after="105" w:afterAutospacing="0" w:line="560" w:lineRule="exact"/>
        <w:ind w:left="0" w:right="0" w:firstLine="643" w:firstLineChars="200"/>
        <w:jc w:val="both"/>
        <w:textAlignment w:val="auto"/>
        <w:rPr>
          <w:rFonts w:hint="eastAsia" w:ascii="仿宋_GB2312" w:hAnsi="仿宋_GB2312" w:eastAsia="仿宋_GB2312" w:cs="仿宋_GB2312"/>
          <w:i w:val="0"/>
          <w:iCs w:val="0"/>
          <w:caps w:val="0"/>
          <w:color w:val="333333"/>
          <w:spacing w:val="0"/>
          <w:sz w:val="32"/>
          <w:szCs w:val="32"/>
          <w:lang w:val="en-US" w:eastAsia="zh-CN"/>
        </w:rPr>
      </w:pPr>
      <w:r>
        <w:rPr>
          <w:rFonts w:hint="eastAsia" w:ascii="仿宋_GB2312" w:hAnsi="仿宋_GB2312" w:eastAsia="仿宋_GB2312" w:cs="仿宋_GB2312"/>
          <w:b/>
          <w:bCs/>
          <w:i w:val="0"/>
          <w:iCs w:val="0"/>
          <w:caps w:val="0"/>
          <w:color w:val="333333"/>
          <w:spacing w:val="0"/>
          <w:sz w:val="32"/>
          <w:szCs w:val="32"/>
          <w:lang w:val="en-US" w:eastAsia="zh-CN"/>
        </w:rPr>
        <w:t>第十三条</w:t>
      </w:r>
      <w:r>
        <w:rPr>
          <w:rFonts w:hint="eastAsia" w:ascii="仿宋_GB2312" w:hAnsi="仿宋_GB2312" w:eastAsia="仿宋_GB2312" w:cs="仿宋_GB2312"/>
          <w:i w:val="0"/>
          <w:iCs w:val="0"/>
          <w:caps w:val="0"/>
          <w:color w:val="333333"/>
          <w:spacing w:val="0"/>
          <w:sz w:val="32"/>
          <w:szCs w:val="32"/>
          <w:lang w:val="en-US" w:eastAsia="zh-CN"/>
        </w:rPr>
        <w:t xml:space="preserve"> 历史文化名城、街区、名镇、名村（传统村落）等自批准公布之日起</w:t>
      </w:r>
      <w:r>
        <w:rPr>
          <w:rFonts w:hint="default" w:ascii="仿宋_GB2312" w:hAnsi="仿宋_GB2312" w:eastAsia="仿宋_GB2312" w:cs="仿宋_GB2312"/>
          <w:i w:val="0"/>
          <w:iCs w:val="0"/>
          <w:caps w:val="0"/>
          <w:color w:val="333333"/>
          <w:spacing w:val="0"/>
          <w:sz w:val="32"/>
          <w:szCs w:val="32"/>
          <w:lang w:val="en-US" w:eastAsia="zh-CN"/>
        </w:rPr>
        <w:t>1</w:t>
      </w:r>
      <w:r>
        <w:rPr>
          <w:rFonts w:hint="eastAsia" w:ascii="仿宋_GB2312" w:hAnsi="仿宋_GB2312" w:eastAsia="仿宋_GB2312" w:cs="仿宋_GB2312"/>
          <w:i w:val="0"/>
          <w:iCs w:val="0"/>
          <w:caps w:val="0"/>
          <w:color w:val="333333"/>
          <w:spacing w:val="0"/>
          <w:sz w:val="32"/>
          <w:szCs w:val="32"/>
          <w:lang w:val="en-US" w:eastAsia="zh-CN"/>
        </w:rPr>
        <w:t>年内，应编制完成相应的保护规划。</w:t>
      </w:r>
    </w:p>
    <w:p w14:paraId="4E3ED243">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105" w:beforeAutospacing="0" w:after="105" w:afterAutospacing="0" w:line="560" w:lineRule="exact"/>
        <w:ind w:left="0" w:right="0" w:firstLine="640" w:firstLineChars="200"/>
        <w:jc w:val="both"/>
        <w:textAlignment w:val="auto"/>
        <w:rPr>
          <w:rFonts w:hint="eastAsia" w:ascii="仿宋_GB2312" w:hAnsi="仿宋_GB2312" w:eastAsia="仿宋_GB2312" w:cs="仿宋_GB2312"/>
          <w:i w:val="0"/>
          <w:iCs w:val="0"/>
          <w:caps w:val="0"/>
          <w:color w:val="333333"/>
          <w:spacing w:val="0"/>
          <w:sz w:val="32"/>
          <w:szCs w:val="32"/>
          <w:lang w:val="en-US" w:eastAsia="zh-CN"/>
        </w:rPr>
      </w:pPr>
      <w:r>
        <w:rPr>
          <w:rFonts w:hint="eastAsia" w:ascii="仿宋_GB2312" w:hAnsi="仿宋_GB2312" w:eastAsia="仿宋_GB2312" w:cs="仿宋_GB2312"/>
          <w:i w:val="0"/>
          <w:iCs w:val="0"/>
          <w:caps w:val="0"/>
          <w:color w:val="333333"/>
          <w:spacing w:val="0"/>
          <w:sz w:val="32"/>
          <w:szCs w:val="32"/>
          <w:lang w:val="en-US" w:eastAsia="zh-CN"/>
        </w:rPr>
        <w:t>保护规划的编制应向社会公示，广泛征求专家、公众和有关部门的意见，进行科学论证。</w:t>
      </w:r>
    </w:p>
    <w:p w14:paraId="7E0D3F03">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105" w:beforeAutospacing="0" w:after="105" w:afterAutospacing="0" w:line="560" w:lineRule="exact"/>
        <w:ind w:left="0" w:right="0" w:firstLine="643" w:firstLineChars="200"/>
        <w:jc w:val="both"/>
        <w:textAlignment w:val="auto"/>
        <w:rPr>
          <w:rFonts w:hint="eastAsia" w:ascii="仿宋_GB2312" w:hAnsi="仿宋_GB2312" w:eastAsia="仿宋_GB2312" w:cs="仿宋_GB2312"/>
          <w:i w:val="0"/>
          <w:iCs w:val="0"/>
          <w:caps w:val="0"/>
          <w:color w:val="333333"/>
          <w:spacing w:val="0"/>
          <w:sz w:val="32"/>
          <w:szCs w:val="32"/>
          <w:lang w:val="en-US" w:eastAsia="zh-CN"/>
        </w:rPr>
      </w:pPr>
      <w:r>
        <w:rPr>
          <w:rFonts w:hint="eastAsia" w:ascii="仿宋_GB2312" w:hAnsi="仿宋_GB2312" w:eastAsia="仿宋_GB2312" w:cs="仿宋_GB2312"/>
          <w:b/>
          <w:bCs/>
          <w:i w:val="0"/>
          <w:iCs w:val="0"/>
          <w:caps w:val="0"/>
          <w:color w:val="333333"/>
          <w:spacing w:val="0"/>
          <w:sz w:val="32"/>
          <w:szCs w:val="32"/>
          <w:lang w:val="en-US" w:eastAsia="zh-CN"/>
        </w:rPr>
        <w:t>第十四条</w:t>
      </w:r>
      <w:r>
        <w:rPr>
          <w:rFonts w:hint="eastAsia" w:ascii="仿宋_GB2312" w:hAnsi="仿宋_GB2312" w:eastAsia="仿宋_GB2312" w:cs="仿宋_GB2312"/>
          <w:i w:val="0"/>
          <w:iCs w:val="0"/>
          <w:caps w:val="0"/>
          <w:color w:val="333333"/>
          <w:spacing w:val="0"/>
          <w:sz w:val="32"/>
          <w:szCs w:val="32"/>
          <w:lang w:val="en-US" w:eastAsia="zh-CN"/>
        </w:rPr>
        <w:t xml:space="preserve"> 编制保护规划，应划定核心保护范围和建设控制地带，明确保护重点和保护措施。</w:t>
      </w:r>
    </w:p>
    <w:p w14:paraId="39FBB49F">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105" w:beforeAutospacing="0" w:after="105" w:afterAutospacing="0" w:line="560" w:lineRule="exact"/>
        <w:ind w:left="0" w:right="0" w:firstLine="643" w:firstLineChars="200"/>
        <w:jc w:val="both"/>
        <w:textAlignment w:val="auto"/>
        <w:rPr>
          <w:rFonts w:hint="eastAsia" w:ascii="仿宋_GB2312" w:hAnsi="仿宋_GB2312" w:eastAsia="仿宋_GB2312" w:cs="仿宋_GB2312"/>
          <w:b/>
          <w:bCs/>
          <w:i w:val="0"/>
          <w:iCs w:val="0"/>
          <w:caps w:val="0"/>
          <w:color w:val="333333"/>
          <w:spacing w:val="0"/>
          <w:sz w:val="32"/>
          <w:szCs w:val="32"/>
          <w:lang w:val="en-US" w:eastAsia="zh-CN"/>
        </w:rPr>
      </w:pPr>
      <w:r>
        <w:rPr>
          <w:rFonts w:hint="eastAsia" w:ascii="仿宋_GB2312" w:hAnsi="仿宋_GB2312" w:eastAsia="仿宋_GB2312" w:cs="仿宋_GB2312"/>
          <w:b/>
          <w:bCs/>
          <w:i w:val="0"/>
          <w:iCs w:val="0"/>
          <w:caps w:val="0"/>
          <w:color w:val="333333"/>
          <w:spacing w:val="0"/>
          <w:sz w:val="32"/>
          <w:szCs w:val="32"/>
          <w:lang w:val="en-US" w:eastAsia="zh-CN"/>
        </w:rPr>
        <w:t>第十五条</w:t>
      </w:r>
      <w:r>
        <w:rPr>
          <w:rFonts w:hint="eastAsia" w:ascii="仿宋_GB2312" w:hAnsi="仿宋_GB2312" w:eastAsia="仿宋_GB2312" w:cs="仿宋_GB2312"/>
          <w:i w:val="0"/>
          <w:iCs w:val="0"/>
          <w:caps w:val="0"/>
          <w:color w:val="333333"/>
          <w:spacing w:val="0"/>
          <w:sz w:val="32"/>
          <w:szCs w:val="32"/>
          <w:lang w:val="en-US" w:eastAsia="zh-CN"/>
        </w:rPr>
        <w:t xml:space="preserve"> 经依法批准的保护规划，不得擅自修改；确需修改的，组织编制机关应当向原审批机关提出修改论证报告，经原审批机关同意后方可修改，修改后的保护规划按照原审批程序报送审批。</w:t>
      </w:r>
    </w:p>
    <w:p w14:paraId="1D144481">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105" w:beforeAutospacing="0" w:after="105" w:afterAutospacing="0" w:line="560" w:lineRule="exact"/>
        <w:ind w:left="0" w:right="0" w:firstLine="643" w:firstLineChars="200"/>
        <w:jc w:val="both"/>
        <w:textAlignment w:val="auto"/>
        <w:rPr>
          <w:rFonts w:hint="eastAsia" w:ascii="仿宋_GB2312" w:hAnsi="仿宋_GB2312" w:eastAsia="仿宋_GB2312" w:cs="仿宋_GB2312"/>
          <w:i w:val="0"/>
          <w:iCs w:val="0"/>
          <w:caps w:val="0"/>
          <w:color w:val="333333"/>
          <w:spacing w:val="0"/>
          <w:sz w:val="32"/>
          <w:szCs w:val="32"/>
          <w:lang w:val="en-US" w:eastAsia="zh-CN"/>
        </w:rPr>
      </w:pPr>
      <w:r>
        <w:rPr>
          <w:rFonts w:hint="eastAsia" w:ascii="仿宋_GB2312" w:hAnsi="仿宋_GB2312" w:eastAsia="仿宋_GB2312" w:cs="仿宋_GB2312"/>
          <w:b/>
          <w:bCs/>
          <w:i w:val="0"/>
          <w:iCs w:val="0"/>
          <w:caps w:val="0"/>
          <w:color w:val="333333"/>
          <w:spacing w:val="0"/>
          <w:sz w:val="32"/>
          <w:szCs w:val="32"/>
          <w:lang w:val="en-US" w:eastAsia="zh-CN"/>
        </w:rPr>
        <w:t>第十六条</w:t>
      </w:r>
      <w:r>
        <w:rPr>
          <w:rFonts w:hint="eastAsia" w:ascii="仿宋_GB2312" w:hAnsi="仿宋_GB2312" w:eastAsia="仿宋_GB2312" w:cs="仿宋_GB2312"/>
          <w:i w:val="0"/>
          <w:iCs w:val="0"/>
          <w:caps w:val="0"/>
          <w:color w:val="333333"/>
          <w:spacing w:val="0"/>
          <w:sz w:val="32"/>
          <w:szCs w:val="32"/>
          <w:lang w:val="en-US" w:eastAsia="zh-CN"/>
        </w:rPr>
        <w:t xml:space="preserve"> 在保护范围内从事建设活动，应符合保护规划要求，不得损害历史文化遗产的真实性和完整性，不得破坏传统格局和历史风貌。</w:t>
      </w:r>
    </w:p>
    <w:p w14:paraId="4ABC26B3">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105" w:beforeAutospacing="0" w:after="105" w:afterAutospacing="0" w:line="560" w:lineRule="exact"/>
        <w:ind w:left="0" w:right="0" w:firstLine="643" w:firstLineChars="200"/>
        <w:jc w:val="both"/>
        <w:textAlignment w:val="auto"/>
        <w:rPr>
          <w:rFonts w:hint="eastAsia" w:ascii="仿宋_GB2312" w:hAnsi="仿宋_GB2312" w:eastAsia="仿宋_GB2312" w:cs="仿宋_GB2312"/>
          <w:i w:val="0"/>
          <w:iCs w:val="0"/>
          <w:caps w:val="0"/>
          <w:color w:val="333333"/>
          <w:spacing w:val="0"/>
          <w:sz w:val="32"/>
          <w:szCs w:val="32"/>
          <w:lang w:val="en-US" w:eastAsia="zh-CN"/>
        </w:rPr>
      </w:pPr>
      <w:r>
        <w:rPr>
          <w:rFonts w:hint="eastAsia" w:ascii="仿宋_GB2312" w:hAnsi="仿宋_GB2312" w:eastAsia="仿宋_GB2312" w:cs="仿宋_GB2312"/>
          <w:b/>
          <w:bCs/>
          <w:i w:val="0"/>
          <w:iCs w:val="0"/>
          <w:caps w:val="0"/>
          <w:color w:val="333333"/>
          <w:spacing w:val="0"/>
          <w:sz w:val="32"/>
          <w:szCs w:val="32"/>
          <w:lang w:val="en-US" w:eastAsia="zh-CN"/>
        </w:rPr>
        <w:t>第十七条</w:t>
      </w:r>
      <w:r>
        <w:rPr>
          <w:rFonts w:hint="eastAsia" w:ascii="仿宋_GB2312" w:hAnsi="仿宋_GB2312" w:eastAsia="仿宋_GB2312" w:cs="仿宋_GB2312"/>
          <w:i w:val="0"/>
          <w:iCs w:val="0"/>
          <w:caps w:val="0"/>
          <w:color w:val="333333"/>
          <w:spacing w:val="0"/>
          <w:sz w:val="32"/>
          <w:szCs w:val="32"/>
          <w:lang w:val="en-US" w:eastAsia="zh-CN"/>
        </w:rPr>
        <w:t xml:space="preserve"> 历史文化名城保护范围内的基本建设项目应依法落实基本建设考古前置制度。涉及文物保护的，应在项目批准前，由项目审批部门征求市文物局的意见。新建、扩建公共基础设施、公共服务设施，应报市资规局批准，并征求</w:t>
      </w:r>
      <w:r>
        <w:rPr>
          <w:rFonts w:hint="eastAsia" w:ascii="仿宋_GB2312" w:hAnsi="仿宋_GB2312" w:eastAsia="仿宋_GB2312" w:cs="仿宋_GB2312"/>
          <w:color w:val="000000" w:themeColor="text1"/>
          <w:sz w:val="32"/>
          <w:szCs w:val="32"/>
          <w:lang w:eastAsia="zh-CN"/>
          <w14:textFill>
            <w14:solidFill>
              <w14:schemeClr w14:val="tx1"/>
            </w14:solidFill>
          </w14:textFill>
        </w:rPr>
        <w:t>市</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文物局</w:t>
      </w:r>
      <w:r>
        <w:rPr>
          <w:rFonts w:hint="eastAsia" w:ascii="仿宋_GB2312" w:hAnsi="仿宋_GB2312" w:eastAsia="仿宋_GB2312" w:cs="仿宋_GB2312"/>
          <w:color w:val="000000" w:themeColor="text1"/>
          <w:sz w:val="32"/>
          <w:szCs w:val="32"/>
          <w:lang w:eastAsia="zh-CN"/>
          <w14:textFill>
            <w14:solidFill>
              <w14:schemeClr w14:val="tx1"/>
            </w14:solidFill>
          </w14:textFill>
        </w:rPr>
        <w:t>和名城办</w:t>
      </w:r>
      <w:r>
        <w:rPr>
          <w:rFonts w:hint="eastAsia" w:ascii="仿宋_GB2312" w:hAnsi="仿宋_GB2312" w:eastAsia="仿宋_GB2312" w:cs="仿宋_GB2312"/>
          <w:i w:val="0"/>
          <w:iCs w:val="0"/>
          <w:caps w:val="0"/>
          <w:color w:val="333333"/>
          <w:spacing w:val="0"/>
          <w:sz w:val="32"/>
          <w:szCs w:val="32"/>
          <w:lang w:val="en-US" w:eastAsia="zh-CN"/>
        </w:rPr>
        <w:t>的意见。对历史建筑进行修缮，改变历史建筑使用性质等，应按照《常熟市历史建筑保护办法》相关要求开展审批。</w:t>
      </w:r>
    </w:p>
    <w:p w14:paraId="5E33AE5B">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105" w:beforeAutospacing="0" w:after="105" w:afterAutospacing="0" w:line="560" w:lineRule="exact"/>
        <w:ind w:left="0" w:right="0" w:firstLine="643" w:firstLineChars="200"/>
        <w:jc w:val="both"/>
        <w:textAlignment w:val="auto"/>
        <w:rPr>
          <w:rFonts w:hint="eastAsia" w:ascii="仿宋_GB2312" w:hAnsi="仿宋_GB2312" w:eastAsia="仿宋_GB2312" w:cs="仿宋_GB2312"/>
          <w:i w:val="0"/>
          <w:iCs w:val="0"/>
          <w:caps w:val="0"/>
          <w:color w:val="333333"/>
          <w:spacing w:val="0"/>
          <w:sz w:val="32"/>
          <w:szCs w:val="32"/>
          <w:lang w:val="en-US" w:eastAsia="zh-CN"/>
        </w:rPr>
      </w:pPr>
      <w:r>
        <w:rPr>
          <w:rFonts w:hint="eastAsia" w:ascii="仿宋_GB2312" w:hAnsi="仿宋_GB2312" w:eastAsia="仿宋_GB2312" w:cs="仿宋_GB2312"/>
          <w:b/>
          <w:bCs/>
          <w:i w:val="0"/>
          <w:iCs w:val="0"/>
          <w:caps w:val="0"/>
          <w:color w:val="333333"/>
          <w:spacing w:val="0"/>
          <w:sz w:val="32"/>
          <w:szCs w:val="32"/>
          <w:lang w:val="en-US" w:eastAsia="zh-CN"/>
        </w:rPr>
        <w:t>第十八条</w:t>
      </w:r>
      <w:r>
        <w:rPr>
          <w:rFonts w:hint="eastAsia" w:ascii="仿宋_GB2312" w:hAnsi="仿宋_GB2312" w:eastAsia="仿宋_GB2312" w:cs="仿宋_GB2312"/>
          <w:i w:val="0"/>
          <w:iCs w:val="0"/>
          <w:caps w:val="0"/>
          <w:color w:val="333333"/>
          <w:spacing w:val="0"/>
          <w:sz w:val="32"/>
          <w:szCs w:val="32"/>
          <w:lang w:val="en-US" w:eastAsia="zh-CN"/>
        </w:rPr>
        <w:t xml:space="preserve"> 保护范围内的各单位应依法履行消防安全职责。各镇（街道）人民政府应加强消防安全管理和设施建设，提升各类保护对象的火灾防控能力。</w:t>
      </w:r>
    </w:p>
    <w:p w14:paraId="2C1C0310">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105" w:beforeAutospacing="0" w:after="105" w:afterAutospacing="0" w:line="560" w:lineRule="exact"/>
        <w:ind w:left="0" w:right="0" w:firstLine="643" w:firstLineChars="200"/>
        <w:jc w:val="both"/>
        <w:textAlignment w:val="auto"/>
        <w:rPr>
          <w:rFonts w:hint="eastAsia" w:ascii="仿宋_GB2312" w:hAnsi="仿宋_GB2312" w:eastAsia="仿宋_GB2312" w:cs="仿宋_GB2312"/>
          <w:i w:val="0"/>
          <w:iCs w:val="0"/>
          <w:caps w:val="0"/>
          <w:color w:val="333333"/>
          <w:spacing w:val="0"/>
          <w:sz w:val="32"/>
          <w:szCs w:val="32"/>
          <w:lang w:val="en-US" w:eastAsia="zh-CN"/>
        </w:rPr>
      </w:pPr>
      <w:r>
        <w:rPr>
          <w:rFonts w:hint="eastAsia" w:ascii="仿宋_GB2312" w:hAnsi="仿宋_GB2312" w:eastAsia="仿宋_GB2312" w:cs="仿宋_GB2312"/>
          <w:b/>
          <w:bCs/>
          <w:i w:val="0"/>
          <w:iCs w:val="0"/>
          <w:caps w:val="0"/>
          <w:color w:val="333333"/>
          <w:spacing w:val="0"/>
          <w:sz w:val="32"/>
          <w:szCs w:val="32"/>
          <w:lang w:val="en-US" w:eastAsia="zh-CN"/>
        </w:rPr>
        <w:t>第十九条</w:t>
      </w:r>
      <w:r>
        <w:rPr>
          <w:rFonts w:hint="eastAsia" w:ascii="仿宋_GB2312" w:hAnsi="仿宋_GB2312" w:eastAsia="仿宋_GB2312" w:cs="仿宋_GB2312"/>
          <w:i w:val="0"/>
          <w:iCs w:val="0"/>
          <w:caps w:val="0"/>
          <w:color w:val="333333"/>
          <w:spacing w:val="0"/>
          <w:sz w:val="32"/>
          <w:szCs w:val="32"/>
          <w:lang w:val="en-US" w:eastAsia="zh-CN"/>
        </w:rPr>
        <w:t xml:space="preserve"> 对文物保护单位、不可移动文物和历史建筑进行修缮、保养时，应遵守不改变文物原状的原则，保持原有风貌。</w:t>
      </w:r>
    </w:p>
    <w:p w14:paraId="4FF9A4A0">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105" w:beforeAutospacing="0" w:after="105" w:afterAutospacing="0" w:line="560" w:lineRule="exact"/>
        <w:ind w:left="0" w:right="0" w:firstLine="643" w:firstLineChars="200"/>
        <w:jc w:val="both"/>
        <w:textAlignment w:val="auto"/>
        <w:rPr>
          <w:rFonts w:hint="eastAsia" w:ascii="仿宋_GB2312" w:hAnsi="仿宋_GB2312" w:eastAsia="仿宋_GB2312" w:cs="仿宋_GB2312"/>
          <w:i w:val="0"/>
          <w:iCs w:val="0"/>
          <w:caps w:val="0"/>
          <w:color w:val="333333"/>
          <w:spacing w:val="0"/>
          <w:sz w:val="32"/>
          <w:szCs w:val="32"/>
          <w:lang w:val="en-US" w:eastAsia="zh-CN"/>
        </w:rPr>
      </w:pPr>
      <w:r>
        <w:rPr>
          <w:rFonts w:hint="eastAsia" w:ascii="仿宋_GB2312" w:hAnsi="仿宋_GB2312" w:eastAsia="仿宋_GB2312" w:cs="仿宋_GB2312"/>
          <w:b/>
          <w:bCs/>
          <w:i w:val="0"/>
          <w:iCs w:val="0"/>
          <w:caps w:val="0"/>
          <w:color w:val="333333"/>
          <w:spacing w:val="0"/>
          <w:sz w:val="32"/>
          <w:szCs w:val="32"/>
          <w:lang w:val="en-US" w:eastAsia="zh-CN"/>
        </w:rPr>
        <w:t>第二十条</w:t>
      </w:r>
      <w:r>
        <w:rPr>
          <w:rFonts w:hint="eastAsia" w:ascii="仿宋_GB2312" w:hAnsi="仿宋_GB2312" w:eastAsia="仿宋_GB2312" w:cs="仿宋_GB2312"/>
          <w:i w:val="0"/>
          <w:iCs w:val="0"/>
          <w:caps w:val="0"/>
          <w:color w:val="333333"/>
          <w:spacing w:val="0"/>
          <w:sz w:val="32"/>
          <w:szCs w:val="32"/>
          <w:lang w:val="en-US" w:eastAsia="zh-CN"/>
        </w:rPr>
        <w:t xml:space="preserve"> 加强历史文化遗产保护传承，在妥善保护的前提下，鼓励和支持对历史文化街区、历史地段内保护对象进行合理利用，向社会开放。活化利用行为应符合保护规划要求，注重整体风貌保护规范利用，合理控制商业开发规模。</w:t>
      </w:r>
    </w:p>
    <w:p w14:paraId="08D3D9CB">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105" w:beforeAutospacing="0" w:after="105" w:afterAutospacing="0" w:line="560" w:lineRule="exact"/>
        <w:ind w:left="0" w:right="0" w:firstLine="643" w:firstLineChars="200"/>
        <w:jc w:val="both"/>
        <w:textAlignment w:val="auto"/>
        <w:rPr>
          <w:rFonts w:hint="eastAsia" w:ascii="仿宋_GB2312" w:hAnsi="仿宋_GB2312" w:eastAsia="仿宋_GB2312" w:cs="仿宋_GB2312"/>
          <w:i w:val="0"/>
          <w:iCs w:val="0"/>
          <w:caps w:val="0"/>
          <w:color w:val="333333"/>
          <w:spacing w:val="0"/>
          <w:sz w:val="32"/>
          <w:szCs w:val="32"/>
          <w:lang w:val="en-US" w:eastAsia="zh-CN"/>
        </w:rPr>
      </w:pPr>
      <w:r>
        <w:rPr>
          <w:rFonts w:hint="eastAsia" w:ascii="仿宋_GB2312" w:hAnsi="仿宋_GB2312" w:eastAsia="仿宋_GB2312" w:cs="仿宋_GB2312"/>
          <w:b/>
          <w:bCs/>
          <w:i w:val="0"/>
          <w:iCs w:val="0"/>
          <w:caps w:val="0"/>
          <w:color w:val="333333"/>
          <w:spacing w:val="0"/>
          <w:sz w:val="32"/>
          <w:szCs w:val="32"/>
          <w:lang w:val="en-US" w:eastAsia="zh-CN"/>
        </w:rPr>
        <w:t>第二十一条</w:t>
      </w:r>
      <w:r>
        <w:rPr>
          <w:rFonts w:hint="eastAsia" w:ascii="仿宋_GB2312" w:hAnsi="仿宋_GB2312" w:eastAsia="仿宋_GB2312" w:cs="仿宋_GB2312"/>
          <w:i w:val="0"/>
          <w:iCs w:val="0"/>
          <w:caps w:val="0"/>
          <w:color w:val="333333"/>
          <w:spacing w:val="0"/>
          <w:sz w:val="32"/>
          <w:szCs w:val="32"/>
          <w:lang w:val="en-US" w:eastAsia="zh-CN"/>
        </w:rPr>
        <w:t xml:space="preserve"> 单位和个人在符合结构、消防等安全要求和保护规划的前提下，可以依法通过以下方式合理利用历史文化资源：</w:t>
      </w:r>
    </w:p>
    <w:p w14:paraId="6C8187C0">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105" w:beforeAutospacing="0" w:after="105" w:afterAutospacing="0" w:line="560" w:lineRule="exact"/>
        <w:ind w:left="0" w:right="0" w:firstLine="640" w:firstLineChars="200"/>
        <w:jc w:val="both"/>
        <w:textAlignment w:val="auto"/>
        <w:rPr>
          <w:rFonts w:hint="eastAsia" w:ascii="仿宋_GB2312" w:hAnsi="仿宋_GB2312" w:eastAsia="仿宋_GB2312" w:cs="仿宋_GB2312"/>
          <w:i w:val="0"/>
          <w:iCs w:val="0"/>
          <w:caps w:val="0"/>
          <w:color w:val="333333"/>
          <w:spacing w:val="0"/>
          <w:sz w:val="32"/>
          <w:szCs w:val="32"/>
          <w:lang w:val="en-US" w:eastAsia="zh-CN"/>
        </w:rPr>
      </w:pPr>
      <w:r>
        <w:rPr>
          <w:rFonts w:hint="eastAsia" w:ascii="仿宋_GB2312" w:hAnsi="仿宋_GB2312" w:eastAsia="仿宋_GB2312" w:cs="仿宋_GB2312"/>
          <w:i w:val="0"/>
          <w:iCs w:val="0"/>
          <w:caps w:val="0"/>
          <w:color w:val="333333"/>
          <w:spacing w:val="0"/>
          <w:sz w:val="32"/>
          <w:szCs w:val="32"/>
          <w:lang w:val="en-US" w:eastAsia="zh-CN"/>
        </w:rPr>
        <w:t>（一）设立博物馆、陈列馆、纪念馆、民俗馆；</w:t>
      </w:r>
    </w:p>
    <w:p w14:paraId="5BE3D52B">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105" w:beforeAutospacing="0" w:after="105" w:afterAutospacing="0" w:line="560" w:lineRule="exact"/>
        <w:ind w:left="0" w:right="0" w:firstLine="640" w:firstLineChars="200"/>
        <w:jc w:val="both"/>
        <w:textAlignment w:val="auto"/>
        <w:rPr>
          <w:rFonts w:hint="eastAsia" w:ascii="仿宋_GB2312" w:hAnsi="仿宋_GB2312" w:eastAsia="仿宋_GB2312" w:cs="仿宋_GB2312"/>
          <w:i w:val="0"/>
          <w:iCs w:val="0"/>
          <w:caps w:val="0"/>
          <w:color w:val="333333"/>
          <w:spacing w:val="0"/>
          <w:sz w:val="32"/>
          <w:szCs w:val="32"/>
          <w:lang w:val="en-US" w:eastAsia="zh-CN"/>
        </w:rPr>
      </w:pPr>
      <w:r>
        <w:rPr>
          <w:rFonts w:hint="eastAsia" w:ascii="仿宋_GB2312" w:hAnsi="仿宋_GB2312" w:eastAsia="仿宋_GB2312" w:cs="仿宋_GB2312"/>
          <w:i w:val="0"/>
          <w:iCs w:val="0"/>
          <w:caps w:val="0"/>
          <w:color w:val="333333"/>
          <w:spacing w:val="0"/>
          <w:sz w:val="32"/>
          <w:szCs w:val="32"/>
          <w:lang w:val="en-US" w:eastAsia="zh-CN"/>
        </w:rPr>
        <w:t>（二）开展地方传统文化研究、民间艺术表演活动；</w:t>
      </w:r>
    </w:p>
    <w:p w14:paraId="35B03235">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105" w:beforeAutospacing="0" w:after="105" w:afterAutospacing="0" w:line="560" w:lineRule="exact"/>
        <w:ind w:left="0" w:right="0" w:firstLine="640" w:firstLineChars="200"/>
        <w:jc w:val="both"/>
        <w:textAlignment w:val="auto"/>
        <w:rPr>
          <w:rFonts w:hint="eastAsia" w:ascii="仿宋_GB2312" w:hAnsi="仿宋_GB2312" w:eastAsia="仿宋_GB2312" w:cs="仿宋_GB2312"/>
          <w:i w:val="0"/>
          <w:iCs w:val="0"/>
          <w:caps w:val="0"/>
          <w:color w:val="333333"/>
          <w:spacing w:val="0"/>
          <w:sz w:val="32"/>
          <w:szCs w:val="32"/>
          <w:lang w:val="en-US" w:eastAsia="zh-CN"/>
        </w:rPr>
      </w:pPr>
      <w:r>
        <w:rPr>
          <w:rFonts w:hint="eastAsia" w:ascii="仿宋_GB2312" w:hAnsi="仿宋_GB2312" w:eastAsia="仿宋_GB2312" w:cs="仿宋_GB2312"/>
          <w:i w:val="0"/>
          <w:iCs w:val="0"/>
          <w:caps w:val="0"/>
          <w:color w:val="333333"/>
          <w:spacing w:val="0"/>
          <w:sz w:val="32"/>
          <w:szCs w:val="32"/>
          <w:lang w:val="en-US" w:eastAsia="zh-CN"/>
        </w:rPr>
        <w:t>（三）制作、展示、经营传统手工业；</w:t>
      </w:r>
    </w:p>
    <w:p w14:paraId="74679835">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105" w:beforeAutospacing="0" w:after="105" w:afterAutospacing="0" w:line="560" w:lineRule="exact"/>
        <w:ind w:left="0" w:right="0" w:firstLine="640" w:firstLineChars="200"/>
        <w:jc w:val="both"/>
        <w:textAlignment w:val="auto"/>
        <w:rPr>
          <w:rFonts w:hint="eastAsia" w:ascii="仿宋_GB2312" w:hAnsi="仿宋_GB2312" w:eastAsia="仿宋_GB2312" w:cs="仿宋_GB2312"/>
          <w:i w:val="0"/>
          <w:iCs w:val="0"/>
          <w:caps w:val="0"/>
          <w:color w:val="333333"/>
          <w:spacing w:val="0"/>
          <w:sz w:val="32"/>
          <w:szCs w:val="32"/>
          <w:lang w:val="en-US" w:eastAsia="zh-CN"/>
        </w:rPr>
      </w:pPr>
      <w:r>
        <w:rPr>
          <w:rFonts w:hint="eastAsia" w:ascii="仿宋_GB2312" w:hAnsi="仿宋_GB2312" w:eastAsia="仿宋_GB2312" w:cs="仿宋_GB2312"/>
          <w:i w:val="0"/>
          <w:iCs w:val="0"/>
          <w:caps w:val="0"/>
          <w:color w:val="333333"/>
          <w:spacing w:val="0"/>
          <w:sz w:val="32"/>
          <w:szCs w:val="32"/>
          <w:lang w:val="en-US" w:eastAsia="zh-CN"/>
        </w:rPr>
        <w:t>（四）设置非物质文化遗产传承人代表工作室、传习所等；</w:t>
      </w:r>
    </w:p>
    <w:p w14:paraId="1F079FDB">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105" w:beforeAutospacing="0" w:after="105" w:afterAutospacing="0" w:line="560" w:lineRule="exact"/>
        <w:ind w:left="0" w:right="0" w:firstLine="640" w:firstLineChars="200"/>
        <w:jc w:val="both"/>
        <w:textAlignment w:val="auto"/>
        <w:rPr>
          <w:rFonts w:hint="eastAsia" w:ascii="仿宋_GB2312" w:hAnsi="仿宋_GB2312" w:eastAsia="仿宋_GB2312" w:cs="仿宋_GB2312"/>
          <w:i w:val="0"/>
          <w:iCs w:val="0"/>
          <w:caps w:val="0"/>
          <w:color w:val="333333"/>
          <w:spacing w:val="0"/>
          <w:sz w:val="32"/>
          <w:szCs w:val="32"/>
          <w:lang w:val="en-US" w:eastAsia="zh-CN"/>
        </w:rPr>
      </w:pPr>
      <w:r>
        <w:rPr>
          <w:rFonts w:hint="eastAsia" w:ascii="仿宋_GB2312" w:hAnsi="仿宋_GB2312" w:eastAsia="仿宋_GB2312" w:cs="仿宋_GB2312"/>
          <w:i w:val="0"/>
          <w:iCs w:val="0"/>
          <w:caps w:val="0"/>
          <w:color w:val="333333"/>
          <w:spacing w:val="0"/>
          <w:sz w:val="32"/>
          <w:szCs w:val="32"/>
          <w:lang w:val="en-US" w:eastAsia="zh-CN"/>
        </w:rPr>
        <w:t>（五）开办文化客栈、民宿、特色餐饮等；</w:t>
      </w:r>
    </w:p>
    <w:p w14:paraId="3F088434">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105" w:beforeAutospacing="0" w:after="105" w:afterAutospacing="0" w:line="560" w:lineRule="exact"/>
        <w:ind w:left="0" w:right="0" w:firstLine="640" w:firstLineChars="200"/>
        <w:jc w:val="both"/>
        <w:textAlignment w:val="auto"/>
        <w:rPr>
          <w:rFonts w:hint="eastAsia" w:ascii="仿宋_GB2312" w:hAnsi="仿宋_GB2312" w:eastAsia="仿宋_GB2312" w:cs="仿宋_GB2312"/>
          <w:i w:val="0"/>
          <w:iCs w:val="0"/>
          <w:caps w:val="0"/>
          <w:color w:val="333333"/>
          <w:spacing w:val="0"/>
          <w:sz w:val="32"/>
          <w:szCs w:val="32"/>
          <w:lang w:val="en-US" w:eastAsia="zh-CN"/>
        </w:rPr>
      </w:pPr>
      <w:r>
        <w:rPr>
          <w:rFonts w:hint="eastAsia" w:ascii="仿宋_GB2312" w:hAnsi="仿宋_GB2312" w:eastAsia="仿宋_GB2312" w:cs="仿宋_GB2312"/>
          <w:i w:val="0"/>
          <w:iCs w:val="0"/>
          <w:caps w:val="0"/>
          <w:color w:val="333333"/>
          <w:spacing w:val="0"/>
          <w:sz w:val="32"/>
          <w:szCs w:val="32"/>
          <w:lang w:val="en-US" w:eastAsia="zh-CN"/>
        </w:rPr>
        <w:t>（六）建立中小学生教育体验基地；</w:t>
      </w:r>
    </w:p>
    <w:p w14:paraId="4BD2CC98">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105" w:beforeAutospacing="0" w:after="105" w:afterAutospacing="0" w:line="560" w:lineRule="exact"/>
        <w:ind w:left="0" w:right="0" w:firstLine="640" w:firstLineChars="200"/>
        <w:jc w:val="both"/>
        <w:textAlignment w:val="auto"/>
        <w:rPr>
          <w:rFonts w:hint="eastAsia" w:ascii="仿宋_GB2312" w:hAnsi="仿宋_GB2312" w:eastAsia="仿宋_GB2312" w:cs="仿宋_GB2312"/>
          <w:i w:val="0"/>
          <w:iCs w:val="0"/>
          <w:caps w:val="0"/>
          <w:color w:val="333333"/>
          <w:spacing w:val="0"/>
          <w:sz w:val="32"/>
          <w:szCs w:val="32"/>
          <w:lang w:val="en-US" w:eastAsia="zh-CN"/>
        </w:rPr>
      </w:pPr>
      <w:r>
        <w:rPr>
          <w:rFonts w:hint="eastAsia" w:ascii="仿宋_GB2312" w:hAnsi="仿宋_GB2312" w:eastAsia="仿宋_GB2312" w:cs="仿宋_GB2312"/>
          <w:i w:val="0"/>
          <w:iCs w:val="0"/>
          <w:caps w:val="0"/>
          <w:color w:val="333333"/>
          <w:spacing w:val="0"/>
          <w:sz w:val="32"/>
          <w:szCs w:val="32"/>
          <w:lang w:val="en-US" w:eastAsia="zh-CN"/>
        </w:rPr>
        <w:t>（七）其他有利于保护和传承的利用方式。</w:t>
      </w:r>
    </w:p>
    <w:p w14:paraId="02CEC827">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105" w:beforeAutospacing="0" w:after="105" w:afterAutospacing="0" w:line="560" w:lineRule="exact"/>
        <w:ind w:left="0" w:right="0" w:firstLine="643" w:firstLineChars="200"/>
        <w:jc w:val="both"/>
        <w:textAlignment w:val="auto"/>
        <w:rPr>
          <w:rFonts w:hint="eastAsia" w:ascii="仿宋_GB2312" w:hAnsi="仿宋_GB2312" w:eastAsia="仿宋_GB2312" w:cs="仿宋_GB2312"/>
          <w:i w:val="0"/>
          <w:iCs w:val="0"/>
          <w:caps w:val="0"/>
          <w:color w:val="333333"/>
          <w:spacing w:val="0"/>
          <w:sz w:val="32"/>
          <w:szCs w:val="32"/>
          <w:lang w:val="en-US" w:eastAsia="zh-CN"/>
        </w:rPr>
      </w:pPr>
      <w:r>
        <w:rPr>
          <w:rFonts w:hint="eastAsia" w:ascii="仿宋_GB2312" w:hAnsi="仿宋_GB2312" w:eastAsia="仿宋_GB2312" w:cs="仿宋_GB2312"/>
          <w:b/>
          <w:bCs/>
          <w:i w:val="0"/>
          <w:iCs w:val="0"/>
          <w:caps w:val="0"/>
          <w:color w:val="333333"/>
          <w:spacing w:val="0"/>
          <w:sz w:val="32"/>
          <w:szCs w:val="32"/>
          <w:lang w:val="en-US" w:eastAsia="zh-CN"/>
        </w:rPr>
        <w:t>第二十二条</w:t>
      </w:r>
      <w:r>
        <w:rPr>
          <w:rFonts w:hint="eastAsia" w:ascii="仿宋_GB2312" w:hAnsi="仿宋_GB2312" w:eastAsia="仿宋_GB2312" w:cs="仿宋_GB2312"/>
          <w:i w:val="0"/>
          <w:iCs w:val="0"/>
          <w:caps w:val="0"/>
          <w:color w:val="333333"/>
          <w:spacing w:val="0"/>
          <w:sz w:val="32"/>
          <w:szCs w:val="32"/>
          <w:lang w:val="en-US" w:eastAsia="zh-CN"/>
        </w:rPr>
        <w:t xml:space="preserve"> 对非物质文化遗产的保护，实行“保护为主、抢救第一、合理利用、传承发展”的方针，坚持真实性和整体性的保护原则，由市文体旅局根据实际做好非物质文化遗产的普查、收集、整理和建档工作。</w:t>
      </w:r>
    </w:p>
    <w:p w14:paraId="56B84AE1">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105" w:beforeAutospacing="0" w:after="105" w:afterAutospacing="0" w:line="560" w:lineRule="exact"/>
        <w:ind w:left="0" w:right="0" w:firstLine="640" w:firstLineChars="200"/>
        <w:jc w:val="both"/>
        <w:textAlignment w:val="auto"/>
        <w:rPr>
          <w:rFonts w:hint="eastAsia" w:ascii="仿宋_GB2312" w:hAnsi="仿宋_GB2312" w:eastAsia="仿宋_GB2312" w:cs="仿宋_GB2312"/>
          <w:i w:val="0"/>
          <w:iCs w:val="0"/>
          <w:caps w:val="0"/>
          <w:color w:val="333333"/>
          <w:spacing w:val="0"/>
          <w:sz w:val="32"/>
          <w:szCs w:val="32"/>
          <w:lang w:val="en-US" w:eastAsia="zh-CN"/>
        </w:rPr>
      </w:pPr>
      <w:r>
        <w:rPr>
          <w:rFonts w:hint="eastAsia" w:ascii="仿宋_GB2312" w:hAnsi="仿宋_GB2312" w:eastAsia="仿宋_GB2312" w:cs="仿宋_GB2312"/>
          <w:i w:val="0"/>
          <w:iCs w:val="0"/>
          <w:caps w:val="0"/>
          <w:color w:val="333333"/>
          <w:spacing w:val="0"/>
          <w:sz w:val="32"/>
          <w:szCs w:val="32"/>
          <w:lang w:val="en-US" w:eastAsia="zh-CN"/>
        </w:rPr>
        <w:t>市文体旅、人社等部门应当扶持虞山琴派、画派、诗派、印派、藏书派及具有地方特色的民间传统工艺和民间手艺的整理和研究，保护、利用和发展传统工艺。</w:t>
      </w:r>
    </w:p>
    <w:p w14:paraId="502B8039">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105" w:beforeAutospacing="0" w:after="105" w:afterAutospacing="0" w:line="560" w:lineRule="exact"/>
        <w:ind w:left="0" w:right="0" w:firstLine="643" w:firstLineChars="200"/>
        <w:jc w:val="both"/>
        <w:textAlignment w:val="auto"/>
        <w:rPr>
          <w:rFonts w:hint="eastAsia" w:ascii="仿宋_GB2312" w:hAnsi="仿宋_GB2312" w:eastAsia="仿宋_GB2312" w:cs="仿宋_GB2312"/>
          <w:i w:val="0"/>
          <w:iCs w:val="0"/>
          <w:caps w:val="0"/>
          <w:color w:val="333333"/>
          <w:spacing w:val="0"/>
          <w:sz w:val="32"/>
          <w:szCs w:val="32"/>
          <w:lang w:val="en-US" w:eastAsia="zh-CN"/>
        </w:rPr>
      </w:pPr>
      <w:r>
        <w:rPr>
          <w:rFonts w:hint="eastAsia" w:ascii="仿宋_GB2312" w:hAnsi="仿宋_GB2312" w:eastAsia="仿宋_GB2312" w:cs="仿宋_GB2312"/>
          <w:b/>
          <w:bCs/>
          <w:i w:val="0"/>
          <w:iCs w:val="0"/>
          <w:caps w:val="0"/>
          <w:color w:val="333333"/>
          <w:spacing w:val="0"/>
          <w:sz w:val="32"/>
          <w:szCs w:val="32"/>
          <w:lang w:val="en-US" w:eastAsia="zh-CN"/>
        </w:rPr>
        <w:t>第二十三条</w:t>
      </w:r>
      <w:r>
        <w:rPr>
          <w:rFonts w:hint="eastAsia" w:ascii="仿宋_GB2312" w:hAnsi="仿宋_GB2312" w:eastAsia="仿宋_GB2312" w:cs="仿宋_GB2312"/>
          <w:i w:val="0"/>
          <w:iCs w:val="0"/>
          <w:caps w:val="0"/>
          <w:color w:val="333333"/>
          <w:spacing w:val="0"/>
          <w:sz w:val="32"/>
          <w:szCs w:val="32"/>
          <w:lang w:val="en-US" w:eastAsia="zh-CN"/>
        </w:rPr>
        <w:t xml:space="preserve"> 尊重原住民生活形态和风俗习惯，鼓励原住民依据保护规划要求在原址居住，改善生产生活条件，从事地方特 色产业的生产经营等相关活动，保护历史文化名城原有社会形态、生活方式的延续传承。</w:t>
      </w:r>
    </w:p>
    <w:p w14:paraId="100673B6">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105" w:beforeAutospacing="0" w:after="105" w:afterAutospacing="0" w:line="560" w:lineRule="exact"/>
        <w:ind w:left="0" w:right="0" w:firstLine="643" w:firstLineChars="200"/>
        <w:jc w:val="both"/>
        <w:textAlignment w:val="auto"/>
        <w:rPr>
          <w:rFonts w:hint="eastAsia" w:ascii="仿宋_GB2312" w:hAnsi="仿宋_GB2312" w:eastAsia="仿宋_GB2312" w:cs="仿宋_GB2312"/>
          <w:i w:val="0"/>
          <w:iCs w:val="0"/>
          <w:caps w:val="0"/>
          <w:color w:val="333333"/>
          <w:spacing w:val="0"/>
          <w:sz w:val="32"/>
          <w:szCs w:val="32"/>
          <w:lang w:val="en-US" w:eastAsia="zh-CN"/>
        </w:rPr>
      </w:pPr>
      <w:r>
        <w:rPr>
          <w:rFonts w:hint="eastAsia" w:ascii="仿宋_GB2312" w:hAnsi="仿宋_GB2312" w:eastAsia="仿宋_GB2312" w:cs="仿宋_GB2312"/>
          <w:b/>
          <w:bCs/>
          <w:i w:val="0"/>
          <w:iCs w:val="0"/>
          <w:caps w:val="0"/>
          <w:color w:val="333333"/>
          <w:spacing w:val="0"/>
          <w:sz w:val="32"/>
          <w:szCs w:val="32"/>
          <w:lang w:val="en-US" w:eastAsia="zh-CN"/>
        </w:rPr>
        <w:t>第二十四条</w:t>
      </w:r>
      <w:r>
        <w:rPr>
          <w:rFonts w:hint="eastAsia" w:ascii="仿宋_GB2312" w:hAnsi="仿宋_GB2312" w:eastAsia="仿宋_GB2312" w:cs="仿宋_GB2312"/>
          <w:i w:val="0"/>
          <w:iCs w:val="0"/>
          <w:caps w:val="0"/>
          <w:color w:val="333333"/>
          <w:spacing w:val="0"/>
          <w:sz w:val="32"/>
          <w:szCs w:val="32"/>
          <w:lang w:val="en-US" w:eastAsia="zh-CN"/>
        </w:rPr>
        <w:t xml:space="preserve"> 市文体旅、名城办等部门，各镇（街道）人民政府，应当加大宣传推广力度，组织开展传统节庆活动、纪念活动等形式多样的文化主题活动，创新表达方式，以新闻报道、电视节目、纪录片、短视频等多种形式引导公众参与历史文化保护工作。</w:t>
      </w:r>
    </w:p>
    <w:p w14:paraId="3845DDD3">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105" w:beforeAutospacing="0" w:after="105" w:afterAutospacing="0" w:line="560" w:lineRule="exact"/>
        <w:ind w:left="0" w:right="0" w:firstLine="643" w:firstLineChars="200"/>
        <w:jc w:val="both"/>
        <w:textAlignment w:val="auto"/>
        <w:rPr>
          <w:rFonts w:hint="eastAsia" w:ascii="仿宋_GB2312" w:hAnsi="仿宋_GB2312" w:eastAsia="仿宋_GB2312" w:cs="仿宋_GB2312"/>
          <w:i w:val="0"/>
          <w:iCs w:val="0"/>
          <w:caps w:val="0"/>
          <w:color w:val="333333"/>
          <w:spacing w:val="0"/>
          <w:sz w:val="32"/>
          <w:szCs w:val="32"/>
          <w:lang w:val="en-US" w:eastAsia="zh-CN"/>
        </w:rPr>
      </w:pPr>
      <w:r>
        <w:rPr>
          <w:rFonts w:hint="eastAsia" w:ascii="仿宋_GB2312" w:hAnsi="仿宋_GB2312" w:eastAsia="仿宋_GB2312" w:cs="仿宋_GB2312"/>
          <w:b/>
          <w:bCs/>
          <w:i w:val="0"/>
          <w:iCs w:val="0"/>
          <w:caps w:val="0"/>
          <w:color w:val="333333"/>
          <w:spacing w:val="0"/>
          <w:sz w:val="32"/>
          <w:szCs w:val="32"/>
          <w:lang w:val="en-US" w:eastAsia="zh-CN"/>
        </w:rPr>
        <w:t>第二十五条</w:t>
      </w:r>
      <w:r>
        <w:rPr>
          <w:rFonts w:hint="eastAsia" w:ascii="仿宋_GB2312" w:hAnsi="仿宋_GB2312" w:eastAsia="仿宋_GB2312" w:cs="仿宋_GB2312"/>
          <w:i w:val="0"/>
          <w:iCs w:val="0"/>
          <w:caps w:val="0"/>
          <w:color w:val="333333"/>
          <w:spacing w:val="0"/>
          <w:sz w:val="32"/>
          <w:szCs w:val="32"/>
          <w:lang w:val="en-US" w:eastAsia="zh-CN"/>
        </w:rPr>
        <w:t> 鼓励企业、事业单位、社会团体和个人等各方主体以捐赠、资助、提供志愿服务等多种方式，参与历史文化保护传承工作，探索在保护优先前提下的综合改善和活化利用路径。</w:t>
      </w:r>
    </w:p>
    <w:p w14:paraId="71FB804B">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105" w:beforeAutospacing="0" w:after="105" w:afterAutospacing="0" w:line="560" w:lineRule="exact"/>
        <w:ind w:left="0" w:leftChars="0" w:right="0" w:firstLine="640" w:firstLineChars="0"/>
        <w:jc w:val="both"/>
        <w:textAlignment w:val="auto"/>
        <w:rPr>
          <w:rFonts w:hint="eastAsia" w:ascii="仿宋_GB2312" w:hAnsi="仿宋_GB2312" w:eastAsia="仿宋_GB2312" w:cs="仿宋_GB2312"/>
          <w:i w:val="0"/>
          <w:iCs w:val="0"/>
          <w:caps w:val="0"/>
          <w:color w:val="333333"/>
          <w:spacing w:val="0"/>
          <w:sz w:val="32"/>
          <w:szCs w:val="32"/>
          <w:lang w:val="en-US" w:eastAsia="zh-CN"/>
        </w:rPr>
      </w:pPr>
      <w:r>
        <w:rPr>
          <w:rFonts w:hint="eastAsia" w:ascii="仿宋_GB2312" w:hAnsi="仿宋_GB2312" w:eastAsia="仿宋_GB2312" w:cs="仿宋_GB2312"/>
          <w:b/>
          <w:bCs/>
          <w:i w:val="0"/>
          <w:iCs w:val="0"/>
          <w:caps w:val="0"/>
          <w:color w:val="333333"/>
          <w:spacing w:val="0"/>
          <w:sz w:val="32"/>
          <w:szCs w:val="32"/>
          <w:lang w:val="en-US" w:eastAsia="zh-CN"/>
        </w:rPr>
        <w:t>第二十六条</w:t>
      </w:r>
      <w:r>
        <w:rPr>
          <w:rFonts w:hint="eastAsia" w:ascii="仿宋_GB2312" w:hAnsi="仿宋_GB2312" w:eastAsia="仿宋_GB2312" w:cs="仿宋_GB2312"/>
          <w:i w:val="0"/>
          <w:iCs w:val="0"/>
          <w:caps w:val="0"/>
          <w:color w:val="333333"/>
          <w:spacing w:val="0"/>
          <w:sz w:val="32"/>
          <w:szCs w:val="32"/>
          <w:lang w:val="en-US" w:eastAsia="zh-CN"/>
        </w:rPr>
        <w:t> 对在历史文化保护传承工作中做出突出贡献的单位和个人，市人民政府按照国家和省有关规定予以表彰奖励。</w:t>
      </w:r>
    </w:p>
    <w:p w14:paraId="732ABB17">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105" w:beforeAutospacing="0" w:after="105" w:afterAutospacing="0" w:line="560" w:lineRule="exact"/>
        <w:ind w:left="0" w:leftChars="0" w:right="0" w:firstLine="640" w:firstLineChars="0"/>
        <w:jc w:val="both"/>
        <w:textAlignment w:val="auto"/>
        <w:rPr>
          <w:rFonts w:hint="eastAsia" w:ascii="仿宋_GB2312" w:hAnsi="仿宋_GB2312" w:eastAsia="仿宋_GB2312" w:cs="仿宋_GB2312"/>
          <w:i w:val="0"/>
          <w:iCs w:val="0"/>
          <w:caps w:val="0"/>
          <w:color w:val="333333"/>
          <w:spacing w:val="0"/>
          <w:sz w:val="32"/>
          <w:szCs w:val="32"/>
          <w:lang w:val="en-US" w:eastAsia="zh-CN"/>
        </w:rPr>
      </w:pPr>
      <w:r>
        <w:rPr>
          <w:rFonts w:hint="eastAsia" w:ascii="仿宋_GB2312" w:hAnsi="仿宋_GB2312" w:eastAsia="仿宋_GB2312" w:cs="仿宋_GB2312"/>
          <w:b/>
          <w:bCs/>
          <w:i w:val="0"/>
          <w:iCs w:val="0"/>
          <w:caps w:val="0"/>
          <w:color w:val="333333"/>
          <w:spacing w:val="0"/>
          <w:sz w:val="32"/>
          <w:szCs w:val="32"/>
          <w:lang w:val="en-US" w:eastAsia="zh-CN"/>
        </w:rPr>
        <w:t>第二十七条</w:t>
      </w:r>
      <w:r>
        <w:rPr>
          <w:rFonts w:hint="eastAsia" w:ascii="仿宋_GB2312" w:hAnsi="仿宋_GB2312" w:eastAsia="仿宋_GB2312" w:cs="仿宋_GB2312"/>
          <w:i w:val="0"/>
          <w:iCs w:val="0"/>
          <w:caps w:val="0"/>
          <w:color w:val="333333"/>
          <w:spacing w:val="0"/>
          <w:sz w:val="32"/>
          <w:szCs w:val="32"/>
          <w:lang w:val="en-US" w:eastAsia="zh-CN"/>
        </w:rPr>
        <w:t> </w:t>
      </w:r>
      <w:r>
        <w:rPr>
          <w:rFonts w:hint="eastAsia" w:ascii="仿宋_GB2312" w:hAnsi="仿宋_GB2312" w:eastAsia="仿宋_GB2312" w:cs="仿宋_GB2312"/>
          <w:i w:val="0"/>
          <w:iCs w:val="0"/>
          <w:caps w:val="0"/>
          <w:color w:val="333333"/>
          <w:spacing w:val="0"/>
          <w:sz w:val="32"/>
          <w:szCs w:val="32"/>
        </w:rPr>
        <w:t>任何单位和个人都有权提出历史文化保护意见和建议，并对破坏历史文化</w:t>
      </w:r>
      <w:r>
        <w:rPr>
          <w:rFonts w:hint="eastAsia" w:ascii="仿宋_GB2312" w:hAnsi="仿宋_GB2312" w:eastAsia="仿宋_GB2312" w:cs="仿宋_GB2312"/>
          <w:i w:val="0"/>
          <w:iCs w:val="0"/>
          <w:caps w:val="0"/>
          <w:color w:val="333333"/>
          <w:spacing w:val="0"/>
          <w:sz w:val="32"/>
          <w:szCs w:val="32"/>
          <w:lang w:eastAsia="zh-CN"/>
        </w:rPr>
        <w:t>资源</w:t>
      </w:r>
      <w:r>
        <w:rPr>
          <w:rFonts w:hint="eastAsia" w:ascii="仿宋_GB2312" w:hAnsi="仿宋_GB2312" w:eastAsia="仿宋_GB2312" w:cs="仿宋_GB2312"/>
          <w:i w:val="0"/>
          <w:iCs w:val="0"/>
          <w:caps w:val="0"/>
          <w:color w:val="333333"/>
          <w:spacing w:val="0"/>
          <w:sz w:val="32"/>
          <w:szCs w:val="32"/>
        </w:rPr>
        <w:t>的行为予以监督和举报</w:t>
      </w:r>
      <w:r>
        <w:rPr>
          <w:rFonts w:hint="eastAsia" w:ascii="仿宋_GB2312" w:hAnsi="仿宋_GB2312" w:eastAsia="仿宋_GB2312" w:cs="仿宋_GB2312"/>
          <w:i w:val="0"/>
          <w:iCs w:val="0"/>
          <w:caps w:val="0"/>
          <w:color w:val="333333"/>
          <w:spacing w:val="0"/>
          <w:sz w:val="32"/>
          <w:szCs w:val="32"/>
          <w:lang w:eastAsia="zh-CN"/>
        </w:rPr>
        <w:t>；</w:t>
      </w:r>
      <w:r>
        <w:rPr>
          <w:rFonts w:hint="eastAsia" w:ascii="仿宋_GB2312" w:hAnsi="仿宋_GB2312" w:eastAsia="仿宋_GB2312" w:cs="仿宋_GB2312"/>
          <w:i w:val="0"/>
          <w:iCs w:val="0"/>
          <w:caps w:val="0"/>
          <w:color w:val="333333"/>
          <w:spacing w:val="0"/>
          <w:sz w:val="32"/>
          <w:szCs w:val="32"/>
        </w:rPr>
        <w:t>发现有保护价值的街区、建筑物</w:t>
      </w:r>
      <w:r>
        <w:rPr>
          <w:rFonts w:hint="eastAsia" w:ascii="仿宋_GB2312" w:hAnsi="仿宋_GB2312" w:eastAsia="仿宋_GB2312" w:cs="仿宋_GB2312"/>
          <w:i w:val="0"/>
          <w:iCs w:val="0"/>
          <w:caps w:val="0"/>
          <w:color w:val="333333"/>
          <w:spacing w:val="0"/>
          <w:sz w:val="32"/>
          <w:szCs w:val="32"/>
          <w:lang w:eastAsia="zh-CN"/>
        </w:rPr>
        <w:t>（</w:t>
      </w:r>
      <w:r>
        <w:rPr>
          <w:rFonts w:hint="eastAsia" w:ascii="仿宋_GB2312" w:hAnsi="仿宋_GB2312" w:eastAsia="仿宋_GB2312" w:cs="仿宋_GB2312"/>
          <w:i w:val="0"/>
          <w:iCs w:val="0"/>
          <w:caps w:val="0"/>
          <w:color w:val="333333"/>
          <w:spacing w:val="0"/>
          <w:sz w:val="32"/>
          <w:szCs w:val="32"/>
        </w:rPr>
        <w:t>构筑物</w:t>
      </w:r>
      <w:r>
        <w:rPr>
          <w:rFonts w:hint="eastAsia" w:ascii="仿宋_GB2312" w:hAnsi="仿宋_GB2312" w:eastAsia="仿宋_GB2312" w:cs="仿宋_GB2312"/>
          <w:i w:val="0"/>
          <w:iCs w:val="0"/>
          <w:caps w:val="0"/>
          <w:color w:val="333333"/>
          <w:spacing w:val="0"/>
          <w:sz w:val="32"/>
          <w:szCs w:val="32"/>
          <w:lang w:eastAsia="zh-CN"/>
        </w:rPr>
        <w:t>）等</w:t>
      </w:r>
      <w:r>
        <w:rPr>
          <w:rFonts w:hint="eastAsia" w:ascii="仿宋_GB2312" w:hAnsi="仿宋_GB2312" w:eastAsia="仿宋_GB2312" w:cs="仿宋_GB2312"/>
          <w:i w:val="0"/>
          <w:iCs w:val="0"/>
          <w:caps w:val="0"/>
          <w:color w:val="333333"/>
          <w:spacing w:val="0"/>
          <w:sz w:val="32"/>
          <w:szCs w:val="32"/>
        </w:rPr>
        <w:t>，</w:t>
      </w:r>
      <w:r>
        <w:rPr>
          <w:rFonts w:hint="eastAsia" w:ascii="仿宋_GB2312" w:hAnsi="仿宋_GB2312" w:eastAsia="仿宋_GB2312" w:cs="仿宋_GB2312"/>
          <w:i w:val="0"/>
          <w:iCs w:val="0"/>
          <w:caps w:val="0"/>
          <w:color w:val="333333"/>
          <w:spacing w:val="0"/>
          <w:sz w:val="32"/>
          <w:szCs w:val="32"/>
          <w:lang w:eastAsia="zh-CN"/>
        </w:rPr>
        <w:t>鼓励</w:t>
      </w:r>
      <w:r>
        <w:rPr>
          <w:rFonts w:hint="eastAsia" w:ascii="仿宋_GB2312" w:hAnsi="仿宋_GB2312" w:eastAsia="仿宋_GB2312" w:cs="仿宋_GB2312"/>
          <w:i w:val="0"/>
          <w:iCs w:val="0"/>
          <w:caps w:val="0"/>
          <w:color w:val="333333"/>
          <w:spacing w:val="0"/>
          <w:sz w:val="32"/>
          <w:szCs w:val="32"/>
        </w:rPr>
        <w:t>及时向</w:t>
      </w:r>
      <w:r>
        <w:rPr>
          <w:rFonts w:hint="eastAsia" w:ascii="仿宋_GB2312" w:hAnsi="仿宋_GB2312" w:eastAsia="仿宋_GB2312" w:cs="仿宋_GB2312"/>
          <w:i w:val="0"/>
          <w:iCs w:val="0"/>
          <w:caps w:val="0"/>
          <w:color w:val="333333"/>
          <w:spacing w:val="0"/>
          <w:sz w:val="32"/>
          <w:szCs w:val="32"/>
          <w:lang w:eastAsia="zh-CN"/>
        </w:rPr>
        <w:t>历史文化保护</w:t>
      </w:r>
      <w:r>
        <w:rPr>
          <w:rFonts w:hint="eastAsia" w:ascii="仿宋_GB2312" w:hAnsi="仿宋_GB2312" w:eastAsia="仿宋_GB2312" w:cs="仿宋_GB2312"/>
          <w:i w:val="0"/>
          <w:iCs w:val="0"/>
          <w:caps w:val="0"/>
          <w:color w:val="333333"/>
          <w:spacing w:val="0"/>
          <w:sz w:val="32"/>
          <w:szCs w:val="32"/>
        </w:rPr>
        <w:t>主管部门报告。</w:t>
      </w:r>
    </w:p>
    <w:p w14:paraId="7B3E9A68">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105" w:beforeAutospacing="0" w:after="105" w:afterAutospacing="0" w:line="560" w:lineRule="exact"/>
        <w:ind w:left="0" w:right="0" w:firstLine="643" w:firstLineChars="200"/>
        <w:jc w:val="both"/>
        <w:textAlignment w:val="auto"/>
        <w:rPr>
          <w:rFonts w:hint="eastAsia" w:ascii="仿宋_GB2312" w:hAnsi="仿宋_GB2312" w:eastAsia="仿宋_GB2312" w:cs="仿宋_GB2312"/>
          <w:i w:val="0"/>
          <w:iCs w:val="0"/>
          <w:caps w:val="0"/>
          <w:color w:val="333333"/>
          <w:spacing w:val="0"/>
          <w:sz w:val="32"/>
          <w:szCs w:val="32"/>
          <w:lang w:val="en-US" w:eastAsia="zh-CN"/>
        </w:rPr>
      </w:pPr>
      <w:r>
        <w:rPr>
          <w:rFonts w:hint="eastAsia" w:ascii="仿宋_GB2312" w:hAnsi="仿宋_GB2312" w:eastAsia="仿宋_GB2312" w:cs="仿宋_GB2312"/>
          <w:b/>
          <w:bCs/>
          <w:i w:val="0"/>
          <w:iCs w:val="0"/>
          <w:caps w:val="0"/>
          <w:color w:val="333333"/>
          <w:spacing w:val="0"/>
          <w:sz w:val="32"/>
          <w:szCs w:val="32"/>
          <w:lang w:val="en-US" w:eastAsia="zh-CN"/>
        </w:rPr>
        <w:t>第二十八条</w:t>
      </w:r>
      <w:r>
        <w:rPr>
          <w:rFonts w:hint="eastAsia" w:ascii="仿宋_GB2312" w:hAnsi="仿宋_GB2312" w:eastAsia="仿宋_GB2312" w:cs="仿宋_GB2312"/>
          <w:i w:val="0"/>
          <w:iCs w:val="0"/>
          <w:caps w:val="0"/>
          <w:color w:val="333333"/>
          <w:spacing w:val="0"/>
          <w:sz w:val="32"/>
          <w:szCs w:val="32"/>
          <w:lang w:val="en-US" w:eastAsia="zh-CN"/>
        </w:rPr>
        <w:t xml:space="preserve"> 对违反本办法的行为，法律、法规已有行政处罚规定的，从其规定。构成犯罪的，依法追究刑事责任。</w:t>
      </w:r>
    </w:p>
    <w:p w14:paraId="41E8FD49">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105" w:beforeAutospacing="0" w:after="105" w:afterAutospacing="0" w:line="560" w:lineRule="exact"/>
        <w:ind w:left="0" w:right="0" w:firstLine="643" w:firstLineChars="200"/>
        <w:jc w:val="both"/>
        <w:textAlignment w:val="auto"/>
        <w:rPr>
          <w:rFonts w:hint="eastAsia" w:ascii="仿宋_GB2312" w:hAnsi="仿宋_GB2312" w:eastAsia="仿宋_GB2312" w:cs="仿宋_GB2312"/>
          <w:i w:val="0"/>
          <w:iCs w:val="0"/>
          <w:caps w:val="0"/>
          <w:color w:val="333333"/>
          <w:spacing w:val="0"/>
          <w:sz w:val="32"/>
          <w:szCs w:val="32"/>
          <w:lang w:val="en-US" w:eastAsia="zh-CN"/>
        </w:rPr>
      </w:pPr>
      <w:r>
        <w:rPr>
          <w:rFonts w:hint="eastAsia" w:ascii="仿宋_GB2312" w:hAnsi="仿宋_GB2312" w:eastAsia="仿宋_GB2312" w:cs="仿宋_GB2312"/>
          <w:b/>
          <w:bCs/>
          <w:i w:val="0"/>
          <w:iCs w:val="0"/>
          <w:caps w:val="0"/>
          <w:color w:val="333333"/>
          <w:spacing w:val="0"/>
          <w:sz w:val="32"/>
          <w:szCs w:val="32"/>
          <w:lang w:val="en-US" w:eastAsia="zh-CN"/>
        </w:rPr>
        <w:t>第二十九条</w:t>
      </w:r>
      <w:r>
        <w:rPr>
          <w:rFonts w:hint="eastAsia" w:ascii="仿宋_GB2312" w:hAnsi="仿宋_GB2312" w:eastAsia="仿宋_GB2312" w:cs="仿宋_GB2312"/>
          <w:i w:val="0"/>
          <w:iCs w:val="0"/>
          <w:caps w:val="0"/>
          <w:color w:val="333333"/>
          <w:spacing w:val="0"/>
          <w:sz w:val="32"/>
          <w:szCs w:val="32"/>
          <w:lang w:val="en-US" w:eastAsia="zh-CN"/>
        </w:rPr>
        <w:t xml:space="preserve"> 违反本办法，有关主管部门及其工作人员不履行监督管理职责，发现违法行为不予查处或者有其他滥用职权、玩忽职守、徇私舞弊行为，对直接负责的主管人员和责任人员依法处理。</w:t>
      </w:r>
    </w:p>
    <w:p w14:paraId="5FEF7496">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105" w:beforeAutospacing="0" w:after="105" w:afterAutospacing="0" w:line="560" w:lineRule="exact"/>
        <w:ind w:left="0" w:right="0" w:firstLine="643" w:firstLineChars="200"/>
        <w:jc w:val="both"/>
        <w:textAlignment w:val="auto"/>
        <w:rPr>
          <w:rFonts w:hint="eastAsia" w:ascii="仿宋_GB2312" w:hAnsi="仿宋_GB2312" w:eastAsia="仿宋_GB2312" w:cs="仿宋_GB2312"/>
          <w:i w:val="0"/>
          <w:iCs w:val="0"/>
          <w:caps w:val="0"/>
          <w:color w:val="333333"/>
          <w:spacing w:val="0"/>
          <w:sz w:val="32"/>
          <w:szCs w:val="32"/>
          <w:lang w:val="en-US" w:eastAsia="zh-CN"/>
        </w:rPr>
      </w:pPr>
      <w:r>
        <w:rPr>
          <w:rFonts w:hint="eastAsia" w:ascii="仿宋_GB2312" w:hAnsi="仿宋_GB2312" w:eastAsia="仿宋_GB2312" w:cs="仿宋_GB2312"/>
          <w:b/>
          <w:bCs/>
          <w:i w:val="0"/>
          <w:iCs w:val="0"/>
          <w:caps w:val="0"/>
          <w:color w:val="333333"/>
          <w:spacing w:val="0"/>
          <w:sz w:val="32"/>
          <w:szCs w:val="32"/>
          <w:lang w:val="en-US" w:eastAsia="zh-CN"/>
        </w:rPr>
        <w:t>第三十条</w:t>
      </w:r>
      <w:r>
        <w:rPr>
          <w:rFonts w:hint="eastAsia" w:ascii="仿宋_GB2312" w:hAnsi="仿宋_GB2312" w:eastAsia="仿宋_GB2312" w:cs="仿宋_GB2312"/>
          <w:i w:val="0"/>
          <w:iCs w:val="0"/>
          <w:caps w:val="0"/>
          <w:color w:val="333333"/>
          <w:spacing w:val="0"/>
          <w:sz w:val="32"/>
          <w:szCs w:val="32"/>
          <w:lang w:val="en-US" w:eastAsia="zh-CN"/>
        </w:rPr>
        <w:t xml:space="preserve"> 本办法自2026年X月X日起施行。</w:t>
      </w:r>
      <w:bookmarkStart w:id="0" w:name="_GoBack"/>
      <w:bookmarkEnd w:id="0"/>
    </w:p>
    <w:sectPr>
      <w:footerReference r:id="rId3" w:type="default"/>
      <w:pgSz w:w="11906" w:h="16838"/>
      <w:pgMar w:top="2098" w:right="1474" w:bottom="1984" w:left="1587"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微软雅黑">
    <w:panose1 w:val="020B0503020204020204"/>
    <w:charset w:val="86"/>
    <w:family w:val="auto"/>
    <w:pitch w:val="default"/>
    <w:sig w:usb0="80000287" w:usb1="280F3C52" w:usb2="00000016" w:usb3="00000000" w:csb0="0004001F" w:csb1="00000000"/>
  </w:font>
  <w:font w:name="仿宋_GB2312">
    <w:panose1 w:val="02010609030101010101"/>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F2D6849">
    <w:pPr>
      <w:pStyle w:val="5"/>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D63C580">
                          <w:pPr>
                            <w:pStyle w:val="5"/>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3D63C580">
                    <w:pPr>
                      <w:pStyle w:val="5"/>
                    </w:pPr>
                    <w:r>
                      <w:fldChar w:fldCharType="begin"/>
                    </w:r>
                    <w:r>
                      <w:instrText xml:space="preserve"> PAGE  \* MERGEFORMAT </w:instrText>
                    </w:r>
                    <w:r>
                      <w:fldChar w:fldCharType="separate"/>
                    </w:r>
                    <w:r>
                      <w:t>1</w:t>
                    </w:r>
                    <w: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8"/>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10701BF9"/>
    <w:rsid w:val="007E4CA5"/>
    <w:rsid w:val="008E0C60"/>
    <w:rsid w:val="009049D8"/>
    <w:rsid w:val="015754F6"/>
    <w:rsid w:val="01C506B1"/>
    <w:rsid w:val="030A0A72"/>
    <w:rsid w:val="03667C72"/>
    <w:rsid w:val="03726617"/>
    <w:rsid w:val="0410030A"/>
    <w:rsid w:val="05B42F17"/>
    <w:rsid w:val="061E4834"/>
    <w:rsid w:val="064249C6"/>
    <w:rsid w:val="078E54CE"/>
    <w:rsid w:val="08C01BD2"/>
    <w:rsid w:val="08C77405"/>
    <w:rsid w:val="09300B06"/>
    <w:rsid w:val="09420839"/>
    <w:rsid w:val="0A2D3298"/>
    <w:rsid w:val="0A3B59B5"/>
    <w:rsid w:val="0A762E91"/>
    <w:rsid w:val="0BA97EC3"/>
    <w:rsid w:val="0BB35A1E"/>
    <w:rsid w:val="0BF874A1"/>
    <w:rsid w:val="0CE73BD2"/>
    <w:rsid w:val="0CF602B9"/>
    <w:rsid w:val="0D553231"/>
    <w:rsid w:val="0D5A43A4"/>
    <w:rsid w:val="0D5B4A77"/>
    <w:rsid w:val="0D865199"/>
    <w:rsid w:val="0E4F1A2E"/>
    <w:rsid w:val="0E572FD9"/>
    <w:rsid w:val="0E63197E"/>
    <w:rsid w:val="0E7F3F41"/>
    <w:rsid w:val="0E87741A"/>
    <w:rsid w:val="0F713C26"/>
    <w:rsid w:val="0F9F69E6"/>
    <w:rsid w:val="0FBF2BE4"/>
    <w:rsid w:val="0FF46D31"/>
    <w:rsid w:val="101822F4"/>
    <w:rsid w:val="104F3F68"/>
    <w:rsid w:val="10701BF9"/>
    <w:rsid w:val="10D97CD5"/>
    <w:rsid w:val="11140D0D"/>
    <w:rsid w:val="11665A0D"/>
    <w:rsid w:val="118E0AC0"/>
    <w:rsid w:val="121A05A5"/>
    <w:rsid w:val="127777A6"/>
    <w:rsid w:val="12AF5192"/>
    <w:rsid w:val="135B2C24"/>
    <w:rsid w:val="13A4281C"/>
    <w:rsid w:val="140829B6"/>
    <w:rsid w:val="144D4C62"/>
    <w:rsid w:val="157F6950"/>
    <w:rsid w:val="169A1CB5"/>
    <w:rsid w:val="16D52CED"/>
    <w:rsid w:val="187A3B4C"/>
    <w:rsid w:val="19AF5A77"/>
    <w:rsid w:val="1A7840BB"/>
    <w:rsid w:val="1A803C34"/>
    <w:rsid w:val="1B570174"/>
    <w:rsid w:val="1BAD248A"/>
    <w:rsid w:val="1BAF1D5E"/>
    <w:rsid w:val="1BF400B9"/>
    <w:rsid w:val="1C454471"/>
    <w:rsid w:val="1C597F1C"/>
    <w:rsid w:val="1CD15F05"/>
    <w:rsid w:val="1D2C40BC"/>
    <w:rsid w:val="1E401394"/>
    <w:rsid w:val="1E4A3E53"/>
    <w:rsid w:val="1F212F73"/>
    <w:rsid w:val="1F422EEA"/>
    <w:rsid w:val="20BB2F53"/>
    <w:rsid w:val="20BD3A98"/>
    <w:rsid w:val="2197751D"/>
    <w:rsid w:val="21F91F85"/>
    <w:rsid w:val="21FA5CFD"/>
    <w:rsid w:val="221A1EFC"/>
    <w:rsid w:val="221E379A"/>
    <w:rsid w:val="221E7C3E"/>
    <w:rsid w:val="22521696"/>
    <w:rsid w:val="225278E7"/>
    <w:rsid w:val="23137077"/>
    <w:rsid w:val="23D22A8E"/>
    <w:rsid w:val="243F3E9B"/>
    <w:rsid w:val="24455956"/>
    <w:rsid w:val="24AA7567"/>
    <w:rsid w:val="256F255E"/>
    <w:rsid w:val="25C94365"/>
    <w:rsid w:val="26EC20B9"/>
    <w:rsid w:val="270D202F"/>
    <w:rsid w:val="27595274"/>
    <w:rsid w:val="27F51441"/>
    <w:rsid w:val="28164F13"/>
    <w:rsid w:val="28D41056"/>
    <w:rsid w:val="29C72155"/>
    <w:rsid w:val="2AD92954"/>
    <w:rsid w:val="2AE15CAC"/>
    <w:rsid w:val="2BA56CDA"/>
    <w:rsid w:val="2BAA42F0"/>
    <w:rsid w:val="2C752B50"/>
    <w:rsid w:val="2CF021D7"/>
    <w:rsid w:val="2D360531"/>
    <w:rsid w:val="2D485B6F"/>
    <w:rsid w:val="2D8A43D9"/>
    <w:rsid w:val="2E586286"/>
    <w:rsid w:val="2E750BE6"/>
    <w:rsid w:val="2F0130C4"/>
    <w:rsid w:val="2F1C5505"/>
    <w:rsid w:val="2F1F6DA3"/>
    <w:rsid w:val="2FA31782"/>
    <w:rsid w:val="2FAD43AF"/>
    <w:rsid w:val="2FE778C1"/>
    <w:rsid w:val="301D1535"/>
    <w:rsid w:val="306F0A59"/>
    <w:rsid w:val="30F71D86"/>
    <w:rsid w:val="31D43E75"/>
    <w:rsid w:val="332E5807"/>
    <w:rsid w:val="33B757FC"/>
    <w:rsid w:val="34790D04"/>
    <w:rsid w:val="349D0E96"/>
    <w:rsid w:val="34CB5C82"/>
    <w:rsid w:val="34F76B17"/>
    <w:rsid w:val="352E7D40"/>
    <w:rsid w:val="35417A73"/>
    <w:rsid w:val="354352B6"/>
    <w:rsid w:val="354E4284"/>
    <w:rsid w:val="35814314"/>
    <w:rsid w:val="367C4ADB"/>
    <w:rsid w:val="36D829F5"/>
    <w:rsid w:val="37182A56"/>
    <w:rsid w:val="37887BDC"/>
    <w:rsid w:val="3790083E"/>
    <w:rsid w:val="37C624B2"/>
    <w:rsid w:val="38156F95"/>
    <w:rsid w:val="3A742699"/>
    <w:rsid w:val="3A9C1361"/>
    <w:rsid w:val="3B516536"/>
    <w:rsid w:val="3B8C57C0"/>
    <w:rsid w:val="3C2D6FA3"/>
    <w:rsid w:val="3C2E6878"/>
    <w:rsid w:val="3CED6733"/>
    <w:rsid w:val="3D057D27"/>
    <w:rsid w:val="3D0870C9"/>
    <w:rsid w:val="3D3B2FFA"/>
    <w:rsid w:val="3D785FFC"/>
    <w:rsid w:val="3D8C1AA8"/>
    <w:rsid w:val="3DE2791A"/>
    <w:rsid w:val="3F285800"/>
    <w:rsid w:val="3F584337"/>
    <w:rsid w:val="3F794287"/>
    <w:rsid w:val="3FAE03FB"/>
    <w:rsid w:val="3FC25C55"/>
    <w:rsid w:val="3FDA2F9E"/>
    <w:rsid w:val="41055DF9"/>
    <w:rsid w:val="41650F8E"/>
    <w:rsid w:val="41C23CEA"/>
    <w:rsid w:val="41E77BF5"/>
    <w:rsid w:val="42C85330"/>
    <w:rsid w:val="434A78AA"/>
    <w:rsid w:val="43DD4E0B"/>
    <w:rsid w:val="441F3676"/>
    <w:rsid w:val="445175A7"/>
    <w:rsid w:val="44F25523"/>
    <w:rsid w:val="450308A1"/>
    <w:rsid w:val="45140D01"/>
    <w:rsid w:val="45712819"/>
    <w:rsid w:val="45AB0C2C"/>
    <w:rsid w:val="45C73FC5"/>
    <w:rsid w:val="46510589"/>
    <w:rsid w:val="48036E0A"/>
    <w:rsid w:val="48084421"/>
    <w:rsid w:val="482C010F"/>
    <w:rsid w:val="488B752C"/>
    <w:rsid w:val="49AF0FF8"/>
    <w:rsid w:val="49FE5ADB"/>
    <w:rsid w:val="4AA541A9"/>
    <w:rsid w:val="4ADB5E1D"/>
    <w:rsid w:val="4B50680B"/>
    <w:rsid w:val="4B527DC0"/>
    <w:rsid w:val="4C8E694C"/>
    <w:rsid w:val="4CE74F4D"/>
    <w:rsid w:val="4D3A32CE"/>
    <w:rsid w:val="4D48080E"/>
    <w:rsid w:val="4E03038B"/>
    <w:rsid w:val="505521CD"/>
    <w:rsid w:val="5075461D"/>
    <w:rsid w:val="508605D9"/>
    <w:rsid w:val="51CC64BF"/>
    <w:rsid w:val="527602C7"/>
    <w:rsid w:val="533D5E1F"/>
    <w:rsid w:val="54C4790E"/>
    <w:rsid w:val="55711857"/>
    <w:rsid w:val="564927D4"/>
    <w:rsid w:val="56815ACA"/>
    <w:rsid w:val="569752EE"/>
    <w:rsid w:val="57571C47"/>
    <w:rsid w:val="58136BF6"/>
    <w:rsid w:val="58523BC2"/>
    <w:rsid w:val="58F31B27"/>
    <w:rsid w:val="594F5E01"/>
    <w:rsid w:val="5A1F5D26"/>
    <w:rsid w:val="5B392E17"/>
    <w:rsid w:val="5BCC12BC"/>
    <w:rsid w:val="5CB32755"/>
    <w:rsid w:val="5D131446"/>
    <w:rsid w:val="5D156F6C"/>
    <w:rsid w:val="5EC24ED2"/>
    <w:rsid w:val="5ED01C17"/>
    <w:rsid w:val="5F795ED8"/>
    <w:rsid w:val="5F97635E"/>
    <w:rsid w:val="60D1764E"/>
    <w:rsid w:val="625C73EB"/>
    <w:rsid w:val="62E21FE6"/>
    <w:rsid w:val="64065861"/>
    <w:rsid w:val="647B7FFD"/>
    <w:rsid w:val="64E13556"/>
    <w:rsid w:val="65870C23"/>
    <w:rsid w:val="6659436D"/>
    <w:rsid w:val="665A1E94"/>
    <w:rsid w:val="66756CCD"/>
    <w:rsid w:val="6703077D"/>
    <w:rsid w:val="676E209B"/>
    <w:rsid w:val="686A6D75"/>
    <w:rsid w:val="68A74AFF"/>
    <w:rsid w:val="68E1064A"/>
    <w:rsid w:val="69B83AA1"/>
    <w:rsid w:val="6A1862EE"/>
    <w:rsid w:val="6A904500"/>
    <w:rsid w:val="6B60619E"/>
    <w:rsid w:val="6B9876E6"/>
    <w:rsid w:val="6BE741CA"/>
    <w:rsid w:val="6C691082"/>
    <w:rsid w:val="6C9E6F7E"/>
    <w:rsid w:val="6CD02EB0"/>
    <w:rsid w:val="6D3276C6"/>
    <w:rsid w:val="6E9F6FDD"/>
    <w:rsid w:val="6FB645DF"/>
    <w:rsid w:val="6FED1473"/>
    <w:rsid w:val="6FFB2197"/>
    <w:rsid w:val="70271038"/>
    <w:rsid w:val="70F01D72"/>
    <w:rsid w:val="71C50B09"/>
    <w:rsid w:val="71EA4A14"/>
    <w:rsid w:val="71FB277D"/>
    <w:rsid w:val="72802C82"/>
    <w:rsid w:val="72CE60E3"/>
    <w:rsid w:val="73E84F83"/>
    <w:rsid w:val="748527D2"/>
    <w:rsid w:val="74CA6436"/>
    <w:rsid w:val="74DB0643"/>
    <w:rsid w:val="75306BE1"/>
    <w:rsid w:val="7544345C"/>
    <w:rsid w:val="766A7ED1"/>
    <w:rsid w:val="768C42EB"/>
    <w:rsid w:val="76C92E49"/>
    <w:rsid w:val="7722255A"/>
    <w:rsid w:val="77C35AEB"/>
    <w:rsid w:val="7970430D"/>
    <w:rsid w:val="79DA711C"/>
    <w:rsid w:val="79FF36AB"/>
    <w:rsid w:val="7AD85D51"/>
    <w:rsid w:val="7AE30252"/>
    <w:rsid w:val="7B6969A9"/>
    <w:rsid w:val="7B783090"/>
    <w:rsid w:val="7C15268D"/>
    <w:rsid w:val="7D5B0573"/>
    <w:rsid w:val="7D6513F2"/>
    <w:rsid w:val="7EAF0B7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qFormat/>
    <w:uiPriority w:val="0"/>
    <w:pPr>
      <w:spacing w:before="0" w:beforeAutospacing="1" w:after="0" w:afterAutospacing="1"/>
      <w:jc w:val="left"/>
    </w:pPr>
    <w:rPr>
      <w:rFonts w:hint="eastAsia" w:ascii="宋体" w:hAnsi="宋体" w:eastAsia="宋体" w:cs="宋体"/>
      <w:b/>
      <w:bCs/>
      <w:kern w:val="44"/>
      <w:sz w:val="48"/>
      <w:szCs w:val="48"/>
      <w:lang w:val="en-US" w:eastAsia="zh-CN" w:bidi="ar"/>
    </w:rPr>
  </w:style>
  <w:style w:type="paragraph" w:styleId="3">
    <w:name w:val="heading 2"/>
    <w:basedOn w:val="1"/>
    <w:next w:val="1"/>
    <w:semiHidden/>
    <w:unhideWhenUsed/>
    <w:qFormat/>
    <w:uiPriority w:val="0"/>
    <w:pPr>
      <w:spacing w:before="0" w:beforeAutospacing="1" w:after="0" w:afterAutospacing="1"/>
      <w:jc w:val="left"/>
    </w:pPr>
    <w:rPr>
      <w:rFonts w:hint="eastAsia" w:ascii="宋体" w:hAnsi="宋体" w:eastAsia="宋体" w:cs="宋体"/>
      <w:b/>
      <w:bCs/>
      <w:kern w:val="0"/>
      <w:sz w:val="36"/>
      <w:szCs w:val="36"/>
      <w:lang w:val="en-US" w:eastAsia="zh-CN" w:bidi="ar"/>
    </w:rPr>
  </w:style>
  <w:style w:type="character" w:default="1" w:styleId="9">
    <w:name w:val="Default Paragraph Font"/>
    <w:semiHidden/>
    <w:qFormat/>
    <w:uiPriority w:val="0"/>
  </w:style>
  <w:style w:type="table" w:default="1" w:styleId="8">
    <w:name w:val="Normal Table"/>
    <w:semiHidden/>
    <w:qFormat/>
    <w:uiPriority w:val="0"/>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qFormat/>
    <w:uiPriority w:val="0"/>
    <w:pPr>
      <w:tabs>
        <w:tab w:val="center" w:pos="4153"/>
        <w:tab w:val="right" w:pos="8306"/>
      </w:tabs>
      <w:snapToGrid w:val="0"/>
      <w:jc w:val="left"/>
    </w:pPr>
    <w:rPr>
      <w:sz w:val="18"/>
    </w:rPr>
  </w:style>
  <w:style w:type="paragraph" w:styleId="6">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7">
    <w:name w:val="Normal (Web)"/>
    <w:basedOn w:val="1"/>
    <w:qFormat/>
    <w:uiPriority w:val="0"/>
    <w:pPr>
      <w:spacing w:before="0" w:beforeAutospacing="1" w:after="0" w:afterAutospacing="1"/>
      <w:ind w:left="0" w:right="0"/>
      <w:jc w:val="left"/>
    </w:pPr>
    <w:rPr>
      <w:kern w:val="0"/>
      <w:sz w:val="24"/>
      <w:lang w:val="en-US" w:eastAsia="zh-CN" w:bidi="ar"/>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7</Pages>
  <Words>3215</Words>
  <Characters>3227</Characters>
  <Lines>0</Lines>
  <Paragraphs>0</Paragraphs>
  <TotalTime>6</TotalTime>
  <ScaleCrop>false</ScaleCrop>
  <LinksUpToDate>false</LinksUpToDate>
  <CharactersWithSpaces>3255</CharactersWithSpaces>
  <Application>WPS Office_12.1.0.23542_F1E327BC-269C-435d-A152-05C5408002CA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2025-04-29T02:17:00Z</dcterms:created>
  <dc:creator>梨咏絮</dc:creator>
  <cp:lastModifiedBy>静</cp:lastModifiedBy>
  <dcterms:modified xsi:type="dcterms:W3CDTF">2025-12-04T06:46:35Z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2052-12.1.0.23542</vt:lpwstr>
  </property>
  <property fmtid="{D5CDD505-2E9C-101B-9397-08002B2CF9AE}" pid="3" name="ICV">
    <vt:lpwstr>65AE0DBC0DA2436B839702169E82A960_13</vt:lpwstr>
  </property>
  <property fmtid="{D5CDD505-2E9C-101B-9397-08002B2CF9AE}" pid="4" name="KSOTemplateDocerSaveRecord">
    <vt:lpwstr>eyJoZGlkIjoiYmFjZjdlYTdlY2RlMmMyYTUxZGU5MjE4MWVmZDNjNGYiLCJ1c2VySWQiOiIyNDcwMTYxMDkifQ==</vt:lpwstr>
  </property>
</Properties>
</file>