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黑体" w:hAnsi="黑体" w:eastAsia="黑体"/>
          <w:sz w:val="44"/>
          <w:szCs w:val="44"/>
          <w:lang w:val="en-US" w:eastAsia="zh-CN"/>
        </w:rPr>
      </w:pPr>
      <w:r>
        <w:rPr>
          <w:rFonts w:hint="eastAsia" w:ascii="黑体" w:hAnsi="黑体" w:eastAsia="黑体"/>
          <w:sz w:val="44"/>
          <w:szCs w:val="44"/>
          <w:lang w:val="en-US" w:eastAsia="zh-CN"/>
        </w:rPr>
        <w:t>2023年</w:t>
      </w:r>
      <w:r>
        <w:rPr>
          <w:rFonts w:hint="eastAsia" w:ascii="黑体" w:hAnsi="黑体" w:eastAsia="黑体"/>
          <w:sz w:val="44"/>
          <w:szCs w:val="44"/>
        </w:rPr>
        <w:t>常熟市</w:t>
      </w:r>
      <w:r>
        <w:rPr>
          <w:rFonts w:hint="eastAsia" w:ascii="黑体" w:hAnsi="黑体" w:eastAsia="黑体"/>
          <w:sz w:val="44"/>
          <w:szCs w:val="44"/>
          <w:lang w:val="en-US" w:eastAsia="zh-CN"/>
        </w:rPr>
        <w:t>失能老年人家庭成员照护</w:t>
      </w:r>
    </w:p>
    <w:p>
      <w:pPr>
        <w:spacing w:line="540" w:lineRule="exact"/>
        <w:jc w:val="center"/>
        <w:rPr>
          <w:rFonts w:ascii="黑体" w:hAnsi="黑体" w:eastAsia="黑体"/>
          <w:sz w:val="44"/>
          <w:szCs w:val="44"/>
        </w:rPr>
      </w:pPr>
      <w:r>
        <w:rPr>
          <w:rFonts w:hint="eastAsia" w:ascii="黑体" w:hAnsi="黑体" w:eastAsia="黑体"/>
          <w:sz w:val="44"/>
          <w:szCs w:val="44"/>
          <w:lang w:val="en-US" w:eastAsia="zh-CN"/>
        </w:rPr>
        <w:t>培训项目招标</w:t>
      </w:r>
      <w:r>
        <w:rPr>
          <w:rFonts w:hint="eastAsia" w:ascii="黑体" w:hAnsi="黑体" w:eastAsia="黑体"/>
          <w:sz w:val="44"/>
          <w:szCs w:val="44"/>
        </w:rPr>
        <w:t>公告</w:t>
      </w:r>
    </w:p>
    <w:p>
      <w:pPr>
        <w:keepNext w:val="0"/>
        <w:keepLines w:val="0"/>
        <w:pageBreakBefore w:val="0"/>
        <w:widowControl w:val="0"/>
        <w:kinsoku/>
        <w:wordWrap/>
        <w:overflowPunct/>
        <w:topLinePunct w:val="0"/>
        <w:autoSpaceDE/>
        <w:autoSpaceDN/>
        <w:bidi w:val="0"/>
        <w:adjustRightInd/>
        <w:snapToGrid/>
        <w:spacing w:before="504" w:beforeLines="100" w:beforeAutospacing="0" w:afterAutospacing="0"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根据苏州市民政局《关于印发2023年全市养老服务工作要点的通知》（苏政民老</w:t>
      </w:r>
      <w:r>
        <w:rPr>
          <w:rFonts w:hint="eastAsia" w:ascii="仿宋" w:hAnsi="仿宋" w:eastAsia="仿宋" w:cs="仿宋"/>
          <w:sz w:val="32"/>
          <w:szCs w:val="32"/>
          <w:lang w:eastAsia="zh-CN"/>
        </w:rPr>
        <w:t>〔2023〕</w:t>
      </w:r>
      <w:r>
        <w:rPr>
          <w:rFonts w:hint="eastAsia" w:ascii="仿宋" w:hAnsi="仿宋" w:eastAsia="仿宋" w:cs="仿宋"/>
          <w:sz w:val="32"/>
          <w:szCs w:val="32"/>
          <w:lang w:val="en-US" w:eastAsia="zh-CN"/>
        </w:rPr>
        <w:t>8号）等文件精神，为帮助失能老年人家庭成员掌握家庭照护的基础常识和相关技能技巧，提升家庭成员照护能力，决定实施2023年度失能老年人家庭成员照护培训项目。现</w:t>
      </w:r>
      <w:r>
        <w:rPr>
          <w:rFonts w:hint="eastAsia" w:ascii="仿宋" w:hAnsi="仿宋" w:eastAsia="仿宋" w:cs="仿宋"/>
          <w:sz w:val="32"/>
          <w:szCs w:val="32"/>
        </w:rPr>
        <w:t>就开展</w:t>
      </w:r>
      <w:r>
        <w:rPr>
          <w:rFonts w:hint="eastAsia" w:ascii="仿宋" w:hAnsi="仿宋" w:eastAsia="仿宋" w:cs="仿宋"/>
          <w:sz w:val="32"/>
          <w:szCs w:val="32"/>
          <w:lang w:val="en-US" w:eastAsia="zh-CN"/>
        </w:rPr>
        <w:t>失能老年人家庭成员照护培训</w:t>
      </w:r>
      <w:r>
        <w:rPr>
          <w:rFonts w:hint="eastAsia" w:ascii="仿宋" w:hAnsi="仿宋" w:eastAsia="仿宋" w:cs="仿宋"/>
          <w:sz w:val="32"/>
          <w:szCs w:val="32"/>
        </w:rPr>
        <w:t>项目招投标活动公告如下：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采购单位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textAlignment w:val="auto"/>
        <w:outlineLvl w:val="9"/>
        <w:rPr>
          <w:rFonts w:hint="eastAsia" w:ascii="华文仿宋" w:hAnsi="华文仿宋" w:eastAsia="华文仿宋" w:cs="仿宋_GB2312"/>
          <w:b/>
          <w:sz w:val="32"/>
          <w:szCs w:val="32"/>
        </w:rPr>
      </w:pPr>
      <w:r>
        <w:rPr>
          <w:rFonts w:hint="eastAsia" w:ascii="华文仿宋" w:hAnsi="华文仿宋" w:eastAsia="华文仿宋" w:cs="仿宋_GB2312"/>
          <w:sz w:val="32"/>
          <w:szCs w:val="32"/>
          <w:lang w:eastAsia="zh-CN"/>
        </w:rPr>
        <w:t>　　</w:t>
      </w:r>
      <w:r>
        <w:rPr>
          <w:rFonts w:hint="eastAsia" w:ascii="仿宋" w:hAnsi="仿宋" w:eastAsia="仿宋" w:cs="仿宋"/>
          <w:sz w:val="32"/>
          <w:szCs w:val="32"/>
        </w:rPr>
        <w:t>常熟市民政局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lang w:val="en-US" w:eastAsia="zh-CN"/>
        </w:rPr>
        <w:t>项目需求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为本市至少108位失能老年人家庭成员提供照护培训，培训时间不少于8课时。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三、项目</w:t>
      </w:r>
      <w:r>
        <w:rPr>
          <w:rFonts w:hint="eastAsia" w:ascii="黑体" w:hAnsi="黑体" w:eastAsia="黑体" w:cs="黑体"/>
          <w:b w:val="0"/>
          <w:bCs/>
          <w:sz w:val="32"/>
          <w:szCs w:val="32"/>
        </w:rPr>
        <w:t>金额</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华文仿宋" w:hAnsi="华文仿宋" w:eastAsia="华文仿宋" w:cs="仿宋_GB2312"/>
          <w:b w:val="0"/>
          <w:bCs/>
          <w:sz w:val="32"/>
          <w:szCs w:val="32"/>
          <w:lang w:val="en-US" w:eastAsia="zh-CN"/>
        </w:rPr>
      </w:pPr>
      <w:r>
        <w:rPr>
          <w:rFonts w:hint="eastAsia" w:ascii="仿宋" w:hAnsi="仿宋" w:eastAsia="仿宋" w:cs="仿宋"/>
          <w:b w:val="0"/>
          <w:bCs/>
          <w:sz w:val="32"/>
          <w:szCs w:val="32"/>
          <w:lang w:val="en-US" w:eastAsia="zh-CN"/>
        </w:rPr>
        <w:t>培训单</w:t>
      </w:r>
      <w:r>
        <w:rPr>
          <w:rFonts w:hint="eastAsia" w:ascii="仿宋" w:hAnsi="仿宋" w:eastAsia="仿宋" w:cs="仿宋"/>
          <w:b w:val="0"/>
          <w:bCs/>
          <w:sz w:val="32"/>
          <w:szCs w:val="32"/>
          <w:highlight w:val="none"/>
          <w:lang w:val="en-US" w:eastAsia="zh-CN"/>
        </w:rPr>
        <w:t>价200元/人，总金额控制在2.3万元以内，包</w:t>
      </w:r>
      <w:r>
        <w:rPr>
          <w:rFonts w:hint="eastAsia" w:ascii="仿宋" w:hAnsi="仿宋" w:eastAsia="仿宋" w:cs="仿宋"/>
          <w:b w:val="0"/>
          <w:bCs/>
          <w:sz w:val="32"/>
          <w:szCs w:val="32"/>
          <w:lang w:val="en-US" w:eastAsia="zh-CN"/>
        </w:rPr>
        <w:t>含书本费、授课费、场地费、管理费以及其他相关费用。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39"/>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四、交付期限</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39"/>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2023</w:t>
      </w:r>
      <w:r>
        <w:rPr>
          <w:rFonts w:hint="eastAsia" w:ascii="仿宋" w:hAnsi="仿宋" w:eastAsia="仿宋" w:cs="仿宋"/>
          <w:b w:val="0"/>
          <w:bCs/>
          <w:sz w:val="32"/>
          <w:szCs w:val="32"/>
          <w:highlight w:val="none"/>
          <w:lang w:val="en-US" w:eastAsia="zh-CN"/>
        </w:rPr>
        <w:t>年7月31日前完</w:t>
      </w:r>
      <w:r>
        <w:rPr>
          <w:rFonts w:hint="eastAsia" w:ascii="仿宋" w:hAnsi="仿宋" w:eastAsia="仿宋" w:cs="仿宋"/>
          <w:b w:val="0"/>
          <w:bCs/>
          <w:sz w:val="32"/>
          <w:szCs w:val="32"/>
          <w:lang w:val="en-US" w:eastAsia="zh-CN"/>
        </w:rPr>
        <w:t>成培训。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lang w:eastAsia="zh-CN"/>
        </w:rPr>
      </w:pP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投标方资格要求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符合《政府采购法》第二十二条规定：</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具有独立承担民事责任的能力；</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具有良好的商业信誉和健全的财务会计制度；</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具有履行合同所必需的设备和专业技术能力；</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有依法缴纳税收和社会保障资金的良好记录；</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参加政府采购活动前三年内，在经营活动中没有重大违法记录；</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法律、行政法规规定的其他条件。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2.具备培训资质的独立法人单位。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3.同等条件下，2018年以来多次举办过养老护理员培训的机构优先。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4.不接受联合体投标。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六</w:t>
      </w:r>
      <w:r>
        <w:rPr>
          <w:rFonts w:hint="eastAsia" w:ascii="黑体" w:hAnsi="黑体" w:eastAsia="黑体" w:cs="黑体"/>
          <w:sz w:val="32"/>
          <w:szCs w:val="32"/>
          <w:lang w:eastAsia="zh-CN"/>
        </w:rPr>
        <w:t>、评分标准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1.评审方法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本项目采用综合评分法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2.评分项目、评分标准及分值</w:t>
      </w:r>
    </w:p>
    <w:p>
      <w:pPr>
        <w:jc w:val="center"/>
        <w:rPr>
          <w:rFonts w:hint="default" w:ascii="仿宋" w:hAnsi="仿宋" w:eastAsia="仿宋" w:cs="仿宋"/>
          <w:b/>
          <w:sz w:val="32"/>
          <w:szCs w:val="32"/>
          <w:highlight w:val="none"/>
          <w:lang w:val="en-US" w:eastAsia="zh-CN"/>
        </w:rPr>
      </w:pPr>
      <w:r>
        <w:rPr>
          <w:rFonts w:hint="eastAsia" w:ascii="仿宋" w:hAnsi="仿宋" w:eastAsia="仿宋" w:cs="仿宋"/>
          <w:b/>
          <w:sz w:val="32"/>
          <w:szCs w:val="32"/>
          <w:highlight w:val="none"/>
          <w:lang w:val="en-US" w:eastAsia="zh-CN"/>
        </w:rPr>
        <w:t>综合评分表</w:t>
      </w:r>
    </w:p>
    <w:tbl>
      <w:tblPr>
        <w:tblStyle w:val="12"/>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284"/>
        <w:gridCol w:w="578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967"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default"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序号</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评价因素</w:t>
            </w:r>
          </w:p>
        </w:tc>
        <w:tc>
          <w:tcPr>
            <w:tcW w:w="5789"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评分标准</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Fonts w:hint="eastAsia" w:ascii="仿宋" w:hAnsi="仿宋" w:eastAsia="仿宋" w:cs="仿宋"/>
                <w:kern w:val="2"/>
                <w:sz w:val="24"/>
                <w:szCs w:val="24"/>
                <w:lang w:eastAsia="zh-CN"/>
              </w:rPr>
            </w:pPr>
            <w:r>
              <w:rPr>
                <w:rFonts w:hint="eastAsia" w:ascii="仿宋" w:hAnsi="仿宋" w:eastAsia="仿宋" w:cs="仿宋"/>
                <w:kern w:val="2"/>
                <w:sz w:val="24"/>
                <w:szCs w:val="24"/>
                <w:highlight w:val="none"/>
              </w:rPr>
              <w:t>满分</w:t>
            </w:r>
            <w:r>
              <w:rPr>
                <w:rFonts w:hint="eastAsia" w:ascii="仿宋" w:hAnsi="仿宋" w:eastAsia="仿宋" w:cs="仿宋"/>
                <w:kern w:val="2"/>
                <w:sz w:val="24"/>
                <w:szCs w:val="24"/>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967"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right="0" w:firstLine="0" w:firstLineChars="0"/>
              <w:jc w:val="center"/>
              <w:textAlignment w:val="auto"/>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1</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right="0" w:firstLine="0" w:firstLineChars="0"/>
              <w:jc w:val="center"/>
              <w:textAlignment w:val="auto"/>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eastAsia="zh-CN"/>
              </w:rPr>
              <w:t>报价</w:t>
            </w:r>
          </w:p>
        </w:tc>
        <w:tc>
          <w:tcPr>
            <w:tcW w:w="5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right="0" w:firstLine="0" w:firstLineChars="0"/>
              <w:jc w:val="both"/>
              <w:textAlignment w:val="auto"/>
              <w:rPr>
                <w:rFonts w:hint="eastAsia" w:ascii="仿宋" w:hAnsi="仿宋" w:eastAsia="仿宋" w:cs="仿宋"/>
                <w:kern w:val="0"/>
                <w:sz w:val="24"/>
                <w:szCs w:val="24"/>
                <w:highlight w:val="none"/>
                <w:lang w:val="en-US" w:eastAsia="zh-CN" w:bidi="zh-CN"/>
              </w:rPr>
            </w:pPr>
            <w:r>
              <w:rPr>
                <w:rFonts w:hint="eastAsia" w:ascii="仿宋" w:hAnsi="仿宋" w:eastAsia="仿宋" w:cs="仿宋"/>
                <w:kern w:val="0"/>
                <w:sz w:val="24"/>
                <w:szCs w:val="24"/>
                <w:highlight w:val="none"/>
                <w:lang w:val="en-US" w:eastAsia="zh-CN" w:bidi="zh-CN"/>
              </w:rPr>
              <w:t>满足招标要求且</w:t>
            </w:r>
            <w:r>
              <w:rPr>
                <w:rFonts w:hint="eastAsia" w:ascii="仿宋" w:hAnsi="仿宋" w:eastAsia="仿宋" w:cs="仿宋"/>
                <w:color w:val="auto"/>
                <w:sz w:val="24"/>
                <w:szCs w:val="24"/>
                <w:highlight w:val="none"/>
              </w:rPr>
              <w:t>最后</w:t>
            </w:r>
            <w:r>
              <w:rPr>
                <w:rFonts w:hint="eastAsia" w:ascii="仿宋" w:hAnsi="仿宋" w:eastAsia="仿宋" w:cs="仿宋"/>
                <w:kern w:val="0"/>
                <w:sz w:val="24"/>
                <w:szCs w:val="24"/>
                <w:highlight w:val="none"/>
                <w:lang w:val="en-US" w:eastAsia="zh-CN" w:bidi="zh-CN"/>
              </w:rPr>
              <w:t>投标价格最低的投标报价为评标基准价，其价格分为满分。其他供应商的价格分统一按照下列公式计算：</w:t>
            </w:r>
          </w:p>
          <w:p>
            <w:pPr>
              <w:keepNext w:val="0"/>
              <w:keepLines w:val="0"/>
              <w:pageBreakBefore w:val="0"/>
              <w:widowControl/>
              <w:kinsoku/>
              <w:wordWrap/>
              <w:overflowPunct/>
              <w:topLinePunct w:val="0"/>
              <w:autoSpaceDE/>
              <w:autoSpaceDN/>
              <w:bidi w:val="0"/>
              <w:adjustRightInd/>
              <w:snapToGrid/>
              <w:spacing w:beforeAutospacing="0" w:afterAutospacing="0" w:line="280" w:lineRule="exact"/>
              <w:ind w:right="0" w:firstLine="0" w:firstLineChars="0"/>
              <w:jc w:val="both"/>
              <w:textAlignment w:val="auto"/>
              <w:rPr>
                <w:rFonts w:hint="eastAsia" w:ascii="仿宋" w:hAnsi="仿宋" w:eastAsia="仿宋" w:cs="仿宋"/>
                <w:kern w:val="0"/>
                <w:sz w:val="24"/>
                <w:szCs w:val="24"/>
                <w:highlight w:val="none"/>
                <w:lang w:val="en-US" w:eastAsia="zh-CN" w:bidi="zh-CN"/>
              </w:rPr>
            </w:pPr>
            <w:r>
              <w:rPr>
                <w:rFonts w:hint="eastAsia" w:ascii="仿宋" w:hAnsi="仿宋" w:eastAsia="仿宋" w:cs="仿宋"/>
                <w:kern w:val="0"/>
                <w:sz w:val="24"/>
                <w:szCs w:val="24"/>
                <w:highlight w:val="none"/>
                <w:lang w:val="en-US" w:eastAsia="zh-CN" w:bidi="zh-CN"/>
              </w:rPr>
              <w:t>投标报价得分=(评标基准价／投标报价)</w:t>
            </w:r>
            <w:r>
              <w:rPr>
                <w:rFonts w:hint="default" w:ascii="仿宋" w:hAnsi="仿宋" w:eastAsia="仿宋" w:cs="仿宋"/>
                <w:kern w:val="0"/>
                <w:sz w:val="24"/>
                <w:szCs w:val="24"/>
                <w:highlight w:val="none"/>
                <w:lang w:val="en-US" w:eastAsia="zh-CN" w:bidi="zh-CN"/>
              </w:rPr>
              <w:t>*100*权重</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right="0" w:firstLine="0" w:firstLineChars="0"/>
              <w:jc w:val="center"/>
              <w:textAlignment w:val="auto"/>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967" w:type="dxa"/>
            <w:tcBorders>
              <w:top w:val="single" w:color="auto" w:sz="4" w:space="0"/>
              <w:left w:val="single" w:color="auto" w:sz="4" w:space="0"/>
              <w:right w:val="single" w:color="auto"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right="0" w:firstLine="0" w:firstLineChars="0"/>
              <w:jc w:val="center"/>
              <w:textAlignment w:val="auto"/>
              <w:rPr>
                <w:rFonts w:hint="eastAsia" w:ascii="仿宋" w:hAnsi="仿宋" w:eastAsia="仿宋" w:cs="仿宋"/>
                <w:sz w:val="24"/>
                <w:szCs w:val="24"/>
                <w:highlight w:val="none"/>
                <w:lang w:eastAsia="zh-CN"/>
              </w:rPr>
            </w:pPr>
            <w:r>
              <w:rPr>
                <w:rFonts w:hint="eastAsia" w:ascii="仿宋" w:hAnsi="仿宋" w:eastAsia="仿宋" w:cs="仿宋"/>
                <w:kern w:val="2"/>
                <w:sz w:val="24"/>
                <w:szCs w:val="24"/>
                <w:highlight w:val="none"/>
                <w:lang w:val="en-US" w:eastAsia="zh-CN"/>
              </w:rPr>
              <w:t>2</w:t>
            </w:r>
          </w:p>
        </w:tc>
        <w:tc>
          <w:tcPr>
            <w:tcW w:w="1284" w:type="dxa"/>
            <w:tcBorders>
              <w:top w:val="single" w:color="auto" w:sz="4" w:space="0"/>
              <w:left w:val="single" w:color="auto" w:sz="4" w:space="0"/>
              <w:right w:val="single" w:color="auto" w:sz="4" w:space="0"/>
            </w:tcBorders>
            <w:noWrap w:val="0"/>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280" w:lineRule="exact"/>
              <w:ind w:right="0" w:firstLine="0" w:firstLineChars="0"/>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培训资质及条件</w:t>
            </w:r>
          </w:p>
        </w:tc>
        <w:tc>
          <w:tcPr>
            <w:tcW w:w="578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right="0" w:firstLine="0" w:firstLineChars="0"/>
              <w:jc w:val="both"/>
              <w:textAlignment w:val="auto"/>
              <w:rPr>
                <w:rFonts w:hint="eastAsia" w:ascii="仿宋" w:hAnsi="仿宋" w:eastAsia="仿宋" w:cs="仿宋"/>
                <w:kern w:val="0"/>
                <w:sz w:val="24"/>
                <w:szCs w:val="24"/>
                <w:highlight w:val="none"/>
                <w:lang w:val="en-US" w:eastAsia="zh-CN" w:bidi="zh-CN"/>
              </w:rPr>
            </w:pPr>
            <w:r>
              <w:rPr>
                <w:rFonts w:hint="eastAsia" w:ascii="仿宋" w:hAnsi="仿宋" w:eastAsia="仿宋" w:cs="仿宋"/>
                <w:kern w:val="0"/>
                <w:sz w:val="24"/>
                <w:szCs w:val="24"/>
                <w:highlight w:val="none"/>
                <w:lang w:val="en-US" w:eastAsia="zh-CN" w:bidi="zh-CN"/>
              </w:rPr>
              <w:t>具备职业技能培训所需的办学条件，结合项目实际情况，合理安排教学人员服务团队，人员架构、组织实施方案具有很强的可行性、符合实际的，得11-15分；内容较好、逻辑较好的，得6-10分；一般得1-5分；</w:t>
            </w:r>
            <w:r>
              <w:rPr>
                <w:rFonts w:hint="eastAsia" w:ascii="仿宋" w:hAnsi="仿宋" w:eastAsia="仿宋" w:cs="仿宋"/>
                <w:color w:val="auto"/>
                <w:sz w:val="24"/>
                <w:szCs w:val="24"/>
                <w:highlight w:val="none"/>
              </w:rPr>
              <w:t>不完整无方案不得分</w:t>
            </w:r>
            <w:r>
              <w:rPr>
                <w:rFonts w:hint="eastAsia" w:ascii="仿宋" w:hAnsi="仿宋" w:eastAsia="仿宋" w:cs="仿宋"/>
                <w:color w:val="auto"/>
                <w:sz w:val="24"/>
                <w:szCs w:val="24"/>
                <w:highlight w:val="none"/>
                <w:lang w:eastAsia="zh-CN"/>
              </w:rPr>
              <w:t>。</w:t>
            </w:r>
          </w:p>
        </w:tc>
        <w:tc>
          <w:tcPr>
            <w:tcW w:w="1199" w:type="dxa"/>
            <w:tcBorders>
              <w:top w:val="single" w:color="auto" w:sz="4" w:space="0"/>
              <w:left w:val="single" w:color="auto" w:sz="4" w:space="0"/>
              <w:right w:val="single" w:color="auto" w:sz="4" w:space="0"/>
            </w:tcBorders>
            <w:noWrap w:val="0"/>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280" w:lineRule="exact"/>
              <w:ind w:right="0" w:firstLine="0" w:firstLineChars="0"/>
              <w:jc w:val="center"/>
              <w:textAlignment w:val="auto"/>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7" w:type="dxa"/>
            <w:vMerge w:val="restart"/>
            <w:tcBorders>
              <w:left w:val="single" w:color="auto" w:sz="4" w:space="0"/>
              <w:right w:val="single" w:color="auto"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right="0" w:firstLine="0" w:firstLineChars="0"/>
              <w:jc w:val="center"/>
              <w:textAlignment w:val="auto"/>
              <w:rPr>
                <w:rFonts w:hint="default"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3</w:t>
            </w:r>
          </w:p>
        </w:tc>
        <w:tc>
          <w:tcPr>
            <w:tcW w:w="1284" w:type="dxa"/>
            <w:vMerge w:val="restart"/>
            <w:tcBorders>
              <w:top w:val="single" w:color="auto" w:sz="4" w:space="0"/>
              <w:left w:val="single" w:color="auto" w:sz="4" w:space="0"/>
              <w:right w:val="single" w:color="auto" w:sz="4" w:space="0"/>
            </w:tcBorders>
            <w:noWrap w:val="0"/>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280" w:lineRule="exact"/>
              <w:ind w:right="0" w:firstLine="0" w:firstLineChars="0"/>
              <w:jc w:val="center"/>
              <w:textAlignment w:val="auto"/>
              <w:rPr>
                <w:rFonts w:hint="eastAsia" w:ascii="仿宋" w:hAnsi="仿宋" w:eastAsia="仿宋" w:cs="仿宋"/>
                <w:kern w:val="0"/>
                <w:sz w:val="24"/>
                <w:szCs w:val="24"/>
                <w:highlight w:val="none"/>
                <w:lang w:val="en-US" w:eastAsia="zh-CN" w:bidi="ar-SA"/>
              </w:rPr>
            </w:pPr>
            <w:r>
              <w:rPr>
                <w:rFonts w:hint="eastAsia" w:ascii="仿宋" w:hAnsi="仿宋" w:eastAsia="仿宋" w:cs="仿宋"/>
                <w:color w:val="000000"/>
                <w:sz w:val="24"/>
                <w:szCs w:val="24"/>
                <w:highlight w:val="none"/>
              </w:rPr>
              <w:t>培训方案</w:t>
            </w:r>
          </w:p>
        </w:tc>
        <w:tc>
          <w:tcPr>
            <w:tcW w:w="578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right="0" w:firstLine="0" w:firstLineChars="0"/>
              <w:jc w:val="both"/>
              <w:textAlignment w:val="auto"/>
              <w:rPr>
                <w:rFonts w:hint="eastAsia" w:ascii="仿宋" w:hAnsi="仿宋" w:eastAsia="仿宋" w:cs="仿宋"/>
                <w:kern w:val="0"/>
                <w:sz w:val="24"/>
                <w:szCs w:val="24"/>
                <w:highlight w:val="none"/>
                <w:lang w:val="en-US" w:eastAsia="zh-CN" w:bidi="zh-CN"/>
              </w:rPr>
            </w:pPr>
            <w:r>
              <w:rPr>
                <w:rFonts w:hint="eastAsia" w:ascii="仿宋" w:hAnsi="仿宋" w:eastAsia="仿宋" w:cs="仿宋"/>
                <w:kern w:val="0"/>
                <w:sz w:val="24"/>
                <w:szCs w:val="24"/>
                <w:highlight w:val="none"/>
                <w:lang w:val="en-US" w:eastAsia="zh-CN" w:bidi="zh-CN"/>
              </w:rPr>
              <w:t>具有项目</w:t>
            </w:r>
            <w:r>
              <w:rPr>
                <w:rFonts w:hint="eastAsia" w:ascii="仿宋" w:hAnsi="仿宋" w:eastAsia="仿宋" w:cs="仿宋"/>
                <w:color w:val="auto"/>
                <w:sz w:val="24"/>
                <w:szCs w:val="24"/>
                <w:highlight w:val="none"/>
              </w:rPr>
              <w:t>背景现状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目的和意义分析，</w:t>
            </w:r>
            <w:r>
              <w:rPr>
                <w:rFonts w:hint="eastAsia" w:ascii="仿宋" w:hAnsi="仿宋" w:eastAsia="仿宋" w:cs="仿宋"/>
                <w:kern w:val="0"/>
                <w:sz w:val="24"/>
                <w:szCs w:val="24"/>
                <w:highlight w:val="none"/>
                <w:lang w:val="en-US" w:eastAsia="zh-CN" w:bidi="zh-CN"/>
              </w:rPr>
              <w:t>内容阐述完整准确、具有很强可行性，得11-15分；内容阐述较完整准确、具有较强可行性，得6-10分；一般得1-5分；不符合不完整无方案不得分。</w:t>
            </w:r>
          </w:p>
        </w:tc>
        <w:tc>
          <w:tcPr>
            <w:tcW w:w="1199" w:type="dxa"/>
            <w:tcBorders>
              <w:top w:val="single" w:color="auto" w:sz="4" w:space="0"/>
              <w:left w:val="single" w:color="auto" w:sz="4" w:space="0"/>
              <w:right w:val="single" w:color="auto" w:sz="4" w:space="0"/>
            </w:tcBorders>
            <w:noWrap w:val="0"/>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280" w:lineRule="exact"/>
              <w:ind w:right="0" w:firstLine="0" w:firstLineChars="0"/>
              <w:jc w:val="center"/>
              <w:textAlignment w:val="auto"/>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96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right="0" w:firstLine="0" w:firstLineChars="0"/>
              <w:jc w:val="center"/>
              <w:textAlignment w:val="auto"/>
              <w:rPr>
                <w:rFonts w:hint="eastAsia" w:ascii="仿宋" w:hAnsi="仿宋" w:eastAsia="仿宋" w:cs="仿宋"/>
                <w:sz w:val="24"/>
                <w:szCs w:val="24"/>
                <w:highlight w:val="none"/>
              </w:rPr>
            </w:pPr>
          </w:p>
        </w:tc>
        <w:tc>
          <w:tcPr>
            <w:tcW w:w="1284" w:type="dxa"/>
            <w:vMerge w:val="continue"/>
            <w:tcBorders>
              <w:left w:val="single" w:color="auto" w:sz="4" w:space="0"/>
              <w:bottom w:val="single" w:color="auto" w:sz="4" w:space="0"/>
              <w:right w:val="single" w:color="auto" w:sz="4" w:space="0"/>
            </w:tcBorders>
            <w:noWrap w:val="0"/>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280" w:lineRule="exact"/>
              <w:ind w:right="0" w:firstLine="0" w:firstLineChars="0"/>
              <w:jc w:val="center"/>
              <w:textAlignment w:val="auto"/>
              <w:rPr>
                <w:rFonts w:hint="eastAsia" w:ascii="仿宋" w:hAnsi="仿宋" w:eastAsia="仿宋" w:cs="仿宋"/>
                <w:kern w:val="0"/>
                <w:sz w:val="24"/>
                <w:szCs w:val="24"/>
                <w:highlight w:val="none"/>
                <w:lang w:val="en-US" w:eastAsia="zh-CN" w:bidi="ar-SA"/>
              </w:rPr>
            </w:pPr>
          </w:p>
        </w:tc>
        <w:tc>
          <w:tcPr>
            <w:tcW w:w="5789" w:type="dxa"/>
            <w:tcBorders>
              <w:top w:val="single" w:color="auto" w:sz="4" w:space="0"/>
              <w:left w:val="single" w:color="auto" w:sz="4" w:space="0"/>
              <w:bottom w:val="single" w:color="auto" w:sz="4" w:space="0"/>
              <w:right w:val="single" w:color="auto" w:sz="4" w:space="0"/>
            </w:tcBorders>
            <w:noWrap w:val="0"/>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280" w:lineRule="exact"/>
              <w:ind w:right="0" w:firstLine="0" w:firstLineChars="0"/>
              <w:jc w:val="both"/>
              <w:textAlignment w:val="auto"/>
              <w:rPr>
                <w:rFonts w:hint="eastAsia" w:ascii="仿宋" w:hAnsi="仿宋" w:eastAsia="仿宋" w:cs="仿宋"/>
                <w:kern w:val="0"/>
                <w:sz w:val="24"/>
                <w:szCs w:val="24"/>
                <w:highlight w:val="none"/>
                <w:lang w:val="en-US" w:eastAsia="zh-CN" w:bidi="zh-CN"/>
              </w:rPr>
            </w:pPr>
            <w:r>
              <w:rPr>
                <w:rFonts w:hint="eastAsia" w:ascii="仿宋" w:hAnsi="仿宋" w:eastAsia="仿宋" w:cs="仿宋"/>
                <w:kern w:val="0"/>
                <w:sz w:val="24"/>
                <w:szCs w:val="24"/>
                <w:highlight w:val="none"/>
                <w:lang w:val="en-US" w:eastAsia="zh-CN" w:bidi="zh-CN"/>
              </w:rPr>
              <w:t>培训方案及课程标准制定符合本项目具体情况。内容符合项目情况，得11-15分；内容较准确得6-10分；一般得1-5分；不符合不完整无方案不得分。</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280" w:lineRule="exact"/>
              <w:ind w:right="0" w:firstLine="0" w:firstLineChars="0"/>
              <w:jc w:val="center"/>
              <w:textAlignment w:val="auto"/>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967"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right="0" w:firstLine="0" w:firstLineChars="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p>
        </w:tc>
        <w:tc>
          <w:tcPr>
            <w:tcW w:w="128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right="0" w:firstLine="0" w:firstLineChars="0"/>
              <w:jc w:val="center"/>
              <w:textAlignment w:val="auto"/>
              <w:rPr>
                <w:rFonts w:hint="eastAsia" w:ascii="仿宋" w:hAnsi="仿宋" w:eastAsia="仿宋" w:cs="仿宋"/>
                <w:kern w:val="0"/>
                <w:sz w:val="24"/>
                <w:szCs w:val="24"/>
                <w:highlight w:val="none"/>
                <w:lang w:val="en-US" w:eastAsia="zh-CN" w:bidi="ar-SA"/>
              </w:rPr>
            </w:pPr>
            <w:r>
              <w:rPr>
                <w:rFonts w:hint="eastAsia" w:ascii="仿宋" w:hAnsi="仿宋" w:eastAsia="仿宋" w:cs="仿宋"/>
                <w:color w:val="000000"/>
                <w:kern w:val="2"/>
                <w:sz w:val="24"/>
                <w:szCs w:val="24"/>
                <w:highlight w:val="none"/>
                <w:lang w:val="en-US" w:eastAsia="zh-CN" w:bidi="zh-CN"/>
              </w:rPr>
              <w:t>教学质量体系构建</w:t>
            </w:r>
          </w:p>
        </w:tc>
        <w:tc>
          <w:tcPr>
            <w:tcW w:w="578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right="0" w:firstLine="0" w:firstLineChars="0"/>
              <w:jc w:val="both"/>
              <w:textAlignment w:val="auto"/>
              <w:rPr>
                <w:rFonts w:hint="eastAsia" w:ascii="仿宋" w:hAnsi="仿宋" w:eastAsia="仿宋" w:cs="仿宋"/>
                <w:kern w:val="0"/>
                <w:sz w:val="24"/>
                <w:szCs w:val="24"/>
                <w:highlight w:val="none"/>
                <w:lang w:val="en-US" w:eastAsia="zh-CN" w:bidi="zh-CN"/>
              </w:rPr>
            </w:pPr>
            <w:r>
              <w:rPr>
                <w:rFonts w:hint="eastAsia" w:ascii="仿宋" w:hAnsi="仿宋" w:eastAsia="仿宋" w:cs="仿宋"/>
                <w:color w:val="auto"/>
                <w:sz w:val="24"/>
                <w:szCs w:val="24"/>
                <w:highlight w:val="none"/>
                <w:lang w:val="en-US" w:eastAsia="zh-CN"/>
              </w:rPr>
              <w:t>培训机构具有</w:t>
            </w:r>
            <w:r>
              <w:rPr>
                <w:rFonts w:hint="eastAsia" w:ascii="仿宋" w:hAnsi="仿宋" w:eastAsia="仿宋" w:cs="仿宋"/>
                <w:kern w:val="0"/>
                <w:sz w:val="24"/>
                <w:szCs w:val="24"/>
                <w:highlight w:val="none"/>
                <w:lang w:val="en-US" w:eastAsia="zh-CN" w:bidi="zh-CN"/>
              </w:rPr>
              <w:t>完备的教学质量监督评价体系，体系</w:t>
            </w:r>
            <w:r>
              <w:rPr>
                <w:rFonts w:hint="eastAsia" w:ascii="仿宋" w:hAnsi="仿宋" w:eastAsia="仿宋" w:cs="仿宋"/>
                <w:color w:val="auto"/>
                <w:sz w:val="24"/>
                <w:szCs w:val="24"/>
                <w:highlight w:val="none"/>
              </w:rPr>
              <w:t>完整</w:t>
            </w:r>
            <w:r>
              <w:rPr>
                <w:rFonts w:hint="eastAsia" w:ascii="仿宋" w:hAnsi="仿宋" w:eastAsia="仿宋" w:cs="仿宋"/>
                <w:color w:val="auto"/>
                <w:sz w:val="24"/>
                <w:szCs w:val="24"/>
                <w:highlight w:val="none"/>
                <w:lang w:eastAsia="zh-CN"/>
              </w:rPr>
              <w:t>得</w:t>
            </w:r>
            <w:r>
              <w:rPr>
                <w:rFonts w:hint="eastAsia" w:ascii="仿宋" w:hAnsi="仿宋" w:eastAsia="仿宋" w:cs="仿宋"/>
                <w:color w:val="auto"/>
                <w:sz w:val="24"/>
                <w:szCs w:val="24"/>
                <w:highlight w:val="none"/>
                <w:lang w:val="en-US" w:eastAsia="zh-CN"/>
              </w:rPr>
              <w:t>7-10</w:t>
            </w:r>
            <w:r>
              <w:rPr>
                <w:rFonts w:hint="eastAsia" w:ascii="仿宋" w:hAnsi="仿宋" w:eastAsia="仿宋" w:cs="仿宋"/>
                <w:kern w:val="0"/>
                <w:sz w:val="24"/>
                <w:szCs w:val="24"/>
                <w:highlight w:val="none"/>
                <w:lang w:val="en-US" w:eastAsia="zh-CN" w:bidi="zh-CN"/>
              </w:rPr>
              <w:t>分</w:t>
            </w:r>
            <w:r>
              <w:rPr>
                <w:rFonts w:hint="eastAsia" w:ascii="仿宋" w:hAnsi="仿宋" w:eastAsia="仿宋" w:cs="仿宋"/>
                <w:color w:val="auto"/>
                <w:sz w:val="24"/>
                <w:szCs w:val="24"/>
                <w:highlight w:val="none"/>
              </w:rPr>
              <w:t>；较完整得</w:t>
            </w:r>
            <w:r>
              <w:rPr>
                <w:rFonts w:hint="eastAsia" w:ascii="仿宋" w:hAnsi="仿宋" w:eastAsia="仿宋" w:cs="仿宋"/>
                <w:color w:val="auto"/>
                <w:sz w:val="24"/>
                <w:szCs w:val="24"/>
                <w:highlight w:val="none"/>
                <w:lang w:val="en-US" w:eastAsia="zh-CN"/>
              </w:rPr>
              <w:t>4-6</w:t>
            </w:r>
            <w:r>
              <w:rPr>
                <w:rFonts w:hint="eastAsia" w:ascii="仿宋" w:hAnsi="仿宋" w:eastAsia="仿宋" w:cs="仿宋"/>
                <w:kern w:val="0"/>
                <w:sz w:val="24"/>
                <w:szCs w:val="24"/>
                <w:highlight w:val="none"/>
                <w:lang w:val="en-US" w:eastAsia="zh-CN" w:bidi="zh-CN"/>
              </w:rPr>
              <w:t>分</w:t>
            </w:r>
            <w:r>
              <w:rPr>
                <w:rFonts w:hint="eastAsia" w:ascii="仿宋" w:hAnsi="仿宋" w:eastAsia="仿宋" w:cs="仿宋"/>
                <w:color w:val="auto"/>
                <w:sz w:val="24"/>
                <w:szCs w:val="24"/>
                <w:highlight w:val="none"/>
              </w:rPr>
              <w:t>；一般得</w:t>
            </w: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rPr>
              <w:t>分；不完整无方案不得分</w:t>
            </w:r>
            <w:r>
              <w:rPr>
                <w:rFonts w:hint="eastAsia" w:ascii="仿宋" w:hAnsi="仿宋" w:eastAsia="仿宋" w:cs="仿宋"/>
                <w:color w:val="auto"/>
                <w:sz w:val="24"/>
                <w:szCs w:val="24"/>
                <w:highlight w:val="none"/>
                <w:lang w:eastAsia="zh-CN"/>
              </w:rPr>
              <w:t>。</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280" w:lineRule="exact"/>
              <w:ind w:right="0" w:firstLine="0" w:firstLineChars="0"/>
              <w:jc w:val="center"/>
              <w:textAlignment w:val="auto"/>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967" w:type="dxa"/>
            <w:tcBorders>
              <w:left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280" w:lineRule="exact"/>
              <w:ind w:right="0" w:firstLine="0" w:firstLineChars="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Autospacing="0" w:line="280" w:lineRule="exact"/>
              <w:ind w:right="0" w:firstLine="0" w:firstLineChars="0"/>
              <w:jc w:val="center"/>
              <w:textAlignment w:val="auto"/>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lang w:eastAsia="zh-CN"/>
              </w:rPr>
              <w:t>服务保证措施</w:t>
            </w:r>
          </w:p>
        </w:tc>
        <w:tc>
          <w:tcPr>
            <w:tcW w:w="5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right="0"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教学计划完备，教学文件针对性强、特色鲜明，教学</w:t>
            </w:r>
            <w:r>
              <w:rPr>
                <w:rFonts w:hint="eastAsia" w:ascii="仿宋" w:hAnsi="仿宋" w:eastAsia="仿宋" w:cs="仿宋"/>
                <w:color w:val="auto"/>
                <w:sz w:val="24"/>
                <w:szCs w:val="24"/>
                <w:highlight w:val="none"/>
                <w:lang w:eastAsia="zh-CN"/>
              </w:rPr>
              <w:t>重点</w:t>
            </w:r>
            <w:r>
              <w:rPr>
                <w:rFonts w:hint="eastAsia" w:ascii="仿宋" w:hAnsi="仿宋" w:eastAsia="仿宋" w:cs="仿宋"/>
                <w:color w:val="auto"/>
                <w:sz w:val="24"/>
                <w:szCs w:val="24"/>
                <w:highlight w:val="none"/>
                <w:lang w:val="en-US" w:eastAsia="zh-CN"/>
              </w:rPr>
              <w:t>难点明晰</w:t>
            </w:r>
            <w:r>
              <w:rPr>
                <w:rFonts w:hint="eastAsia" w:ascii="仿宋" w:hAnsi="仿宋" w:eastAsia="仿宋" w:cs="仿宋"/>
                <w:color w:val="auto"/>
                <w:sz w:val="24"/>
                <w:szCs w:val="24"/>
                <w:highlight w:val="none"/>
                <w:lang w:eastAsia="zh-CN"/>
              </w:rPr>
              <w:t>，解决方案</w:t>
            </w:r>
            <w:r>
              <w:rPr>
                <w:rFonts w:hint="eastAsia" w:ascii="仿宋" w:hAnsi="仿宋" w:eastAsia="仿宋" w:cs="仿宋"/>
                <w:color w:val="auto"/>
                <w:sz w:val="24"/>
                <w:szCs w:val="24"/>
                <w:highlight w:val="none"/>
                <w:lang w:val="en-US" w:eastAsia="zh-CN"/>
              </w:rPr>
              <w:t>科学</w:t>
            </w:r>
            <w:r>
              <w:rPr>
                <w:rFonts w:hint="eastAsia" w:ascii="仿宋" w:hAnsi="仿宋" w:eastAsia="仿宋" w:cs="仿宋"/>
                <w:color w:val="auto"/>
                <w:sz w:val="24"/>
                <w:szCs w:val="24"/>
                <w:highlight w:val="none"/>
                <w:lang w:eastAsia="zh-CN"/>
              </w:rPr>
              <w:t>合理，</w:t>
            </w:r>
            <w:r>
              <w:rPr>
                <w:rFonts w:hint="eastAsia" w:ascii="仿宋" w:hAnsi="仿宋" w:eastAsia="仿宋" w:cs="仿宋"/>
                <w:color w:val="auto"/>
                <w:sz w:val="24"/>
                <w:szCs w:val="24"/>
                <w:highlight w:val="none"/>
                <w:lang w:val="en-US" w:eastAsia="zh-CN"/>
              </w:rPr>
              <w:t>教学督导及追踪严格及时。服务保证措施完整7-8</w:t>
            </w:r>
            <w:r>
              <w:rPr>
                <w:rFonts w:hint="eastAsia" w:ascii="仿宋" w:hAnsi="仿宋" w:eastAsia="仿宋" w:cs="仿宋"/>
                <w:color w:val="auto"/>
                <w:sz w:val="24"/>
                <w:szCs w:val="24"/>
                <w:highlight w:val="none"/>
                <w:lang w:eastAsia="zh-CN"/>
              </w:rPr>
              <w:t>分；较</w:t>
            </w:r>
            <w:r>
              <w:rPr>
                <w:rFonts w:hint="eastAsia" w:ascii="仿宋" w:hAnsi="仿宋" w:eastAsia="仿宋" w:cs="仿宋"/>
                <w:color w:val="auto"/>
                <w:sz w:val="24"/>
                <w:szCs w:val="24"/>
                <w:highlight w:val="none"/>
                <w:lang w:val="en-US" w:eastAsia="zh-CN"/>
              </w:rPr>
              <w:t>完整4-6</w:t>
            </w:r>
            <w:r>
              <w:rPr>
                <w:rFonts w:hint="eastAsia" w:ascii="仿宋" w:hAnsi="仿宋" w:eastAsia="仿宋" w:cs="仿宋"/>
                <w:color w:val="auto"/>
                <w:sz w:val="24"/>
                <w:szCs w:val="24"/>
                <w:highlight w:val="none"/>
                <w:lang w:eastAsia="zh-CN"/>
              </w:rPr>
              <w:t>分；一般得</w:t>
            </w: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lang w:eastAsia="zh-CN"/>
              </w:rPr>
              <w:t>分；不完整无方案不得分。</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280" w:lineRule="exact"/>
              <w:ind w:right="0" w:firstLine="0" w:firstLineChars="0"/>
              <w:jc w:val="center"/>
              <w:textAlignment w:val="auto"/>
              <w:rPr>
                <w:rFonts w:hint="default"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967"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right="0" w:rightChars="0" w:firstLine="0" w:firstLineChars="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kern w:val="2"/>
                <w:sz w:val="24"/>
                <w:szCs w:val="24"/>
                <w:highlight w:val="none"/>
                <w:lang w:val="en-US" w:eastAsia="zh-CN" w:bidi="ar-SA"/>
              </w:rPr>
              <w:t>6</w:t>
            </w:r>
          </w:p>
        </w:tc>
        <w:tc>
          <w:tcPr>
            <w:tcW w:w="1284" w:type="dxa"/>
            <w:tcBorders>
              <w:top w:val="single" w:color="auto" w:sz="4" w:space="0"/>
              <w:left w:val="single" w:color="auto" w:sz="4" w:space="0"/>
              <w:right w:val="single" w:color="auto" w:sz="4" w:space="0"/>
            </w:tcBorders>
            <w:noWrap w:val="0"/>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280" w:lineRule="exact"/>
              <w:ind w:left="0" w:leftChars="0" w:right="0" w:rightChars="0" w:firstLine="0" w:firstLineChars="0"/>
              <w:jc w:val="center"/>
              <w:textAlignment w:val="auto"/>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lang w:eastAsia="zh-CN"/>
              </w:rPr>
              <w:t>培训团队</w:t>
            </w:r>
            <w:r>
              <w:rPr>
                <w:rFonts w:hint="eastAsia" w:ascii="仿宋" w:hAnsi="仿宋" w:eastAsia="仿宋" w:cs="仿宋"/>
                <w:color w:val="auto"/>
                <w:kern w:val="2"/>
                <w:sz w:val="24"/>
                <w:szCs w:val="24"/>
                <w:highlight w:val="none"/>
                <w:lang w:val="en-US" w:eastAsia="zh-CN"/>
              </w:rPr>
              <w:t>水平</w:t>
            </w:r>
          </w:p>
        </w:tc>
        <w:tc>
          <w:tcPr>
            <w:tcW w:w="578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right="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拟投入的项目总负责人、专职教学管理人员、专业教师的综合素质优秀，配置合理、完整，其中项目总负责人和专职教学管理人员应当具有大学专科及以上学历和相关工作经验，专业教师应具有相关专业大学专科及以上学历或者技工院校技师班毕业，相关职业（工种）职业资格（技能等级）或者相关专业技术职务任职资格、工作经验（参与项目的业绩证明材料复印件）。</w:t>
            </w:r>
          </w:p>
          <w:p>
            <w:pPr>
              <w:keepNext w:val="0"/>
              <w:keepLines w:val="0"/>
              <w:pageBreakBefore w:val="0"/>
              <w:widowControl/>
              <w:kinsoku/>
              <w:wordWrap/>
              <w:overflowPunct/>
              <w:topLinePunct w:val="0"/>
              <w:autoSpaceDE/>
              <w:autoSpaceDN/>
              <w:bidi w:val="0"/>
              <w:adjustRightInd/>
              <w:snapToGrid/>
              <w:spacing w:beforeAutospacing="0" w:afterAutospacing="0" w:line="280" w:lineRule="exact"/>
              <w:ind w:right="0" w:righ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满足条件的管理人员有1名得2分，2名得4分，3名（含）以上的得6分；满足条件的专业教师有1名得2分，2名得4分，3名（含）以上的得6分。</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280" w:lineRule="exact"/>
              <w:ind w:right="0" w:rightChars="0" w:firstLine="0" w:firstLineChars="0"/>
              <w:jc w:val="center"/>
              <w:textAlignment w:val="auto"/>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967" w:type="dxa"/>
            <w:tcBorders>
              <w:left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280" w:lineRule="exact"/>
              <w:ind w:right="0" w:rightChars="0" w:firstLine="0" w:firstLineChars="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7</w:t>
            </w:r>
          </w:p>
        </w:tc>
        <w:tc>
          <w:tcPr>
            <w:tcW w:w="1284" w:type="dxa"/>
            <w:tcBorders>
              <w:top w:val="single" w:color="auto" w:sz="4" w:space="0"/>
              <w:left w:val="single" w:color="auto" w:sz="4" w:space="0"/>
              <w:right w:val="single" w:color="auto"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Autospacing="0" w:line="280" w:lineRule="exact"/>
              <w:ind w:right="0" w:rightChars="0" w:firstLine="0" w:firstLine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eastAsia="zh-CN"/>
              </w:rPr>
              <w:t>学员档案管理</w:t>
            </w:r>
          </w:p>
        </w:tc>
        <w:tc>
          <w:tcPr>
            <w:tcW w:w="578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right="0" w:rightChars="0"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针对本项目，培训学员有专门的档案建立及管理方案，</w:t>
            </w:r>
            <w:r>
              <w:rPr>
                <w:rFonts w:hint="eastAsia" w:ascii="仿宋" w:hAnsi="仿宋" w:eastAsia="仿宋" w:cs="仿宋"/>
                <w:color w:val="auto"/>
                <w:sz w:val="24"/>
                <w:szCs w:val="24"/>
                <w:highlight w:val="none"/>
                <w:lang w:val="en-US" w:eastAsia="zh-CN"/>
              </w:rPr>
              <w:t>内</w:t>
            </w:r>
            <w:r>
              <w:rPr>
                <w:rFonts w:hint="eastAsia" w:ascii="仿宋" w:hAnsi="仿宋" w:eastAsia="仿宋" w:cs="仿宋"/>
                <w:color w:val="auto"/>
                <w:sz w:val="24"/>
                <w:szCs w:val="24"/>
                <w:highlight w:val="none"/>
              </w:rPr>
              <w:t>容阐述完整准确、具有很强可行性，得</w:t>
            </w:r>
            <w:r>
              <w:rPr>
                <w:rFonts w:hint="eastAsia" w:ascii="仿宋" w:hAnsi="仿宋" w:eastAsia="仿宋" w:cs="仿宋"/>
                <w:color w:val="auto"/>
                <w:sz w:val="24"/>
                <w:szCs w:val="24"/>
                <w:highlight w:val="none"/>
                <w:lang w:val="en-US" w:eastAsia="zh-CN"/>
              </w:rPr>
              <w:t>4-5</w:t>
            </w:r>
            <w:r>
              <w:rPr>
                <w:rFonts w:hint="eastAsia" w:ascii="仿宋" w:hAnsi="仿宋" w:eastAsia="仿宋" w:cs="仿宋"/>
                <w:color w:val="auto"/>
                <w:sz w:val="24"/>
                <w:szCs w:val="24"/>
                <w:highlight w:val="none"/>
              </w:rPr>
              <w:t>分；内容阐述较完整准确、具有较强可行性，得</w:t>
            </w: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rPr>
              <w:t>分；一般得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分；不完整不清晰无方案不得分。</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280" w:lineRule="exact"/>
              <w:ind w:right="0" w:rightChars="0" w:firstLine="0" w:firstLineChars="0"/>
              <w:jc w:val="center"/>
              <w:textAlignment w:val="auto"/>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967" w:type="dxa"/>
            <w:tcBorders>
              <w:left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Autospacing="0" w:afterAutospacing="0" w:line="280" w:lineRule="exact"/>
              <w:ind w:right="0" w:rightChars="0" w:firstLine="0" w:firstLineChars="0"/>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w:t>
            </w:r>
          </w:p>
        </w:tc>
        <w:tc>
          <w:tcPr>
            <w:tcW w:w="1284" w:type="dxa"/>
            <w:tcBorders>
              <w:top w:val="single" w:color="auto" w:sz="4" w:space="0"/>
              <w:left w:val="single" w:color="auto" w:sz="4" w:space="0"/>
              <w:right w:val="single" w:color="auto"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Autospacing="0" w:line="280" w:lineRule="exact"/>
              <w:ind w:right="0" w:rightChars="0" w:firstLine="0" w:firstLineChars="0"/>
              <w:jc w:val="center"/>
              <w:textAlignment w:val="auto"/>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2018年1月1日至今相关培训经验</w:t>
            </w:r>
          </w:p>
        </w:tc>
        <w:tc>
          <w:tcPr>
            <w:tcW w:w="578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80" w:lineRule="exact"/>
              <w:ind w:right="0" w:righ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每提供一项得</w:t>
            </w:r>
            <w:r>
              <w:rPr>
                <w:rFonts w:hint="eastAsia" w:ascii="仿宋" w:hAnsi="仿宋" w:eastAsia="仿宋" w:cs="仿宋"/>
                <w:color w:val="auto"/>
                <w:sz w:val="24"/>
                <w:szCs w:val="24"/>
                <w:highlight w:val="none"/>
                <w:lang w:val="en-US" w:eastAsia="zh-CN"/>
              </w:rPr>
              <w:t>2分，本项最高得10分。</w:t>
            </w:r>
          </w:p>
          <w:p>
            <w:pPr>
              <w:keepNext w:val="0"/>
              <w:keepLines w:val="0"/>
              <w:pageBreakBefore w:val="0"/>
              <w:widowControl/>
              <w:kinsoku/>
              <w:wordWrap/>
              <w:overflowPunct/>
              <w:topLinePunct w:val="0"/>
              <w:autoSpaceDE/>
              <w:autoSpaceDN/>
              <w:bidi w:val="0"/>
              <w:adjustRightInd/>
              <w:snapToGrid/>
              <w:spacing w:beforeAutospacing="0" w:afterAutospacing="0" w:line="280" w:lineRule="exact"/>
              <w:ind w:right="0" w:rightChars="0" w:firstLine="0" w:firstLineChars="0"/>
              <w:textAlignment w:val="auto"/>
              <w:rPr>
                <w:rFonts w:hint="default"/>
                <w:lang w:val="en-US" w:eastAsia="zh-CN"/>
              </w:rPr>
            </w:pPr>
            <w:r>
              <w:rPr>
                <w:rFonts w:hint="eastAsia" w:ascii="仿宋" w:hAnsi="仿宋" w:eastAsia="仿宋" w:cs="仿宋"/>
                <w:color w:val="auto"/>
                <w:sz w:val="24"/>
                <w:szCs w:val="24"/>
                <w:highlight w:val="none"/>
                <w:lang w:val="en-US" w:eastAsia="zh-CN"/>
              </w:rPr>
              <w:t>备注：</w:t>
            </w:r>
            <w:r>
              <w:rPr>
                <w:rFonts w:hint="default" w:ascii="仿宋" w:hAnsi="仿宋" w:eastAsia="仿宋" w:cs="仿宋"/>
                <w:color w:val="auto"/>
                <w:sz w:val="24"/>
                <w:szCs w:val="24"/>
                <w:highlight w:val="none"/>
                <w:lang w:val="en-US" w:eastAsia="zh-CN"/>
              </w:rPr>
              <w:t>请附上合同关键页（含签订合同双方的单位名称、合同项目名称、签订合同双方的落款盖章、签订日期的关键页）复印件作为</w:t>
            </w:r>
            <w:r>
              <w:rPr>
                <w:rFonts w:hint="eastAsia" w:ascii="仿宋" w:hAnsi="仿宋" w:eastAsia="仿宋" w:cs="仿宋"/>
                <w:color w:val="auto"/>
                <w:sz w:val="24"/>
                <w:szCs w:val="24"/>
                <w:highlight w:val="none"/>
                <w:lang w:val="en-US" w:eastAsia="zh-CN"/>
              </w:rPr>
              <w:t>相关</w:t>
            </w:r>
            <w:r>
              <w:rPr>
                <w:rFonts w:hint="default" w:ascii="仿宋" w:hAnsi="仿宋" w:eastAsia="仿宋" w:cs="仿宋"/>
                <w:color w:val="auto"/>
                <w:sz w:val="24"/>
                <w:szCs w:val="24"/>
                <w:highlight w:val="none"/>
                <w:lang w:val="en-US" w:eastAsia="zh-CN"/>
              </w:rPr>
              <w:t>业绩评价证明资料。</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280" w:lineRule="exact"/>
              <w:ind w:right="0" w:rightChars="0" w:firstLine="0" w:firstLineChars="0"/>
              <w:jc w:val="center"/>
              <w:textAlignment w:val="auto"/>
              <w:rPr>
                <w:rFonts w:hint="default"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67" w:type="dxa"/>
            <w:tcBorders>
              <w:top w:val="single" w:color="auto" w:sz="4" w:space="0"/>
              <w:left w:val="single" w:color="auto" w:sz="4" w:space="0"/>
              <w:right w:val="single" w:color="auto"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right="0" w:firstLine="0" w:firstLineChars="0"/>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合计</w:t>
            </w:r>
          </w:p>
        </w:tc>
        <w:tc>
          <w:tcPr>
            <w:tcW w:w="8272" w:type="dxa"/>
            <w:gridSpan w:val="3"/>
            <w:tcBorders>
              <w:top w:val="single" w:color="auto" w:sz="4" w:space="0"/>
              <w:left w:val="single" w:color="auto" w:sz="4" w:space="0"/>
              <w:right w:val="single" w:color="auto"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right="0" w:firstLine="0" w:firstLineChars="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9239" w:type="dxa"/>
            <w:gridSpan w:val="4"/>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right="0" w:firstLine="0" w:firstLineChars="0"/>
              <w:jc w:val="left"/>
              <w:textAlignment w:val="auto"/>
              <w:rPr>
                <w:rFonts w:hint="eastAsia" w:ascii="仿宋" w:hAnsi="仿宋" w:eastAsia="仿宋" w:cs="仿宋"/>
                <w:kern w:val="2"/>
                <w:sz w:val="24"/>
                <w:szCs w:val="24"/>
                <w:lang w:val="en-US" w:eastAsia="zh-CN"/>
              </w:rPr>
            </w:pPr>
            <w:r>
              <w:rPr>
                <w:rFonts w:hint="default" w:ascii="等线" w:hAnsi="等线" w:eastAsia="等线" w:cs="等线"/>
                <w:i w:val="0"/>
                <w:iCs w:val="0"/>
                <w:color w:val="000000"/>
                <w:kern w:val="0"/>
                <w:sz w:val="22"/>
                <w:szCs w:val="22"/>
                <w:u w:val="none"/>
                <w:lang w:val="en-US" w:eastAsia="zh-CN" w:bidi="ar"/>
              </w:rPr>
              <w:t>注：1.以上评分标准中评分的每一条，各投标单位均应提供相关的资料并作出相应的对比供评分评判。</w:t>
            </w:r>
            <w:r>
              <w:rPr>
                <w:rFonts w:hint="default" w:ascii="等线" w:hAnsi="等线" w:eastAsia="等线" w:cs="等线"/>
                <w:i w:val="0"/>
                <w:iCs w:val="0"/>
                <w:color w:val="000000"/>
                <w:kern w:val="0"/>
                <w:sz w:val="22"/>
                <w:szCs w:val="22"/>
                <w:u w:val="none"/>
                <w:lang w:val="en-US" w:eastAsia="zh-CN" w:bidi="ar"/>
              </w:rPr>
              <w:br w:type="textWrapping"/>
            </w:r>
            <w:r>
              <w:rPr>
                <w:rFonts w:hint="default" w:ascii="等线" w:hAnsi="等线" w:eastAsia="等线" w:cs="等线"/>
                <w:i w:val="0"/>
                <w:iCs w:val="0"/>
                <w:color w:val="000000"/>
                <w:kern w:val="0"/>
                <w:sz w:val="22"/>
                <w:szCs w:val="22"/>
                <w:u w:val="none"/>
                <w:lang w:val="en-US" w:eastAsia="zh-CN" w:bidi="ar"/>
              </w:rPr>
              <w:t xml:space="preserve">    2.投标人排名方法：在用百分制计分法计算出各投标文件的最终得分后，评审委员按投标文件得分高低顺序排出名次，排名第一的投标人为中标候选人。如果有2位或2位以上的投标文件分数相同，则投标报价低者居前；如果报价仍然相同，则由评审委员会无记名投票确定相同者的排名。</w:t>
            </w:r>
          </w:p>
        </w:tc>
      </w:tr>
    </w:tbl>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600" w:lineRule="exact"/>
        <w:ind w:left="638" w:leftChars="0" w:firstLine="0" w:firstLineChars="0"/>
        <w:textAlignment w:val="auto"/>
        <w:outlineLvl w:val="9"/>
        <w:rPr>
          <w:rFonts w:hint="eastAsia" w:ascii="黑体" w:hAnsi="黑体" w:eastAsia="黑体" w:cs="黑体"/>
          <w:b/>
          <w:sz w:val="32"/>
          <w:szCs w:val="32"/>
        </w:rPr>
      </w:pPr>
      <w:r>
        <w:rPr>
          <w:rFonts w:hint="eastAsia" w:ascii="黑体" w:hAnsi="黑体" w:eastAsia="黑体" w:cs="黑体"/>
          <w:b/>
          <w:sz w:val="32"/>
          <w:szCs w:val="32"/>
        </w:rPr>
        <w:t>投标文件包括内容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投标</w:t>
      </w:r>
      <w:r>
        <w:rPr>
          <w:rFonts w:hint="eastAsia" w:ascii="仿宋" w:hAnsi="仿宋" w:eastAsia="仿宋" w:cs="仿宋"/>
          <w:sz w:val="32"/>
          <w:szCs w:val="32"/>
          <w:lang w:eastAsia="zh-CN"/>
        </w:rPr>
        <w:t>文件（模板见附件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法定代表人身份证复印件（法定代表人不参与投标的，需提供法定代表人的授权委托书及被授权人身份证复印件，见附件</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3.企业证书或</w:t>
      </w:r>
      <w:r>
        <w:rPr>
          <w:rFonts w:hint="eastAsia" w:ascii="仿宋" w:hAnsi="仿宋" w:eastAsia="仿宋" w:cs="仿宋"/>
          <w:sz w:val="32"/>
          <w:szCs w:val="32"/>
        </w:rPr>
        <w:t>《民办非企业单位登记证书》</w:t>
      </w:r>
      <w:r>
        <w:rPr>
          <w:rFonts w:hint="eastAsia" w:ascii="仿宋" w:hAnsi="仿宋" w:eastAsia="仿宋" w:cs="仿宋"/>
          <w:sz w:val="32"/>
          <w:szCs w:val="32"/>
          <w:lang w:eastAsia="zh-CN"/>
        </w:rPr>
        <w:t>副本</w:t>
      </w:r>
      <w:r>
        <w:rPr>
          <w:rFonts w:hint="eastAsia" w:ascii="仿宋" w:hAnsi="仿宋" w:eastAsia="仿宋" w:cs="仿宋"/>
          <w:sz w:val="32"/>
          <w:szCs w:val="32"/>
        </w:rPr>
        <w:t>复印件（</w:t>
      </w:r>
      <w:r>
        <w:rPr>
          <w:rFonts w:hint="eastAsia" w:ascii="仿宋" w:hAnsi="仿宋" w:eastAsia="仿宋" w:cs="仿宋"/>
          <w:sz w:val="32"/>
          <w:szCs w:val="32"/>
          <w:lang w:val="en-US" w:eastAsia="zh-CN"/>
        </w:rPr>
        <w:t>民办非企业单位</w:t>
      </w:r>
      <w:r>
        <w:rPr>
          <w:rFonts w:hint="eastAsia" w:ascii="仿宋" w:hAnsi="仿宋" w:eastAsia="仿宋" w:cs="仿宋"/>
          <w:sz w:val="32"/>
          <w:szCs w:val="32"/>
          <w:lang w:eastAsia="zh-CN"/>
        </w:rPr>
        <w:t>登记证书中未包含业务范围的，还需另行提供经登记管理机关核准的投标人《章程》第一章、第二章部分，须体现投标人的业务范围</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4.培训案例。2018年以来举办相关培训的案例，没有案例可以不提供；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依法缴纳税收和社会保障资金的相关材料；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具备履行合同所必需的设施设备和专业技术能力的书面声明；</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参加政府采购活动</w:t>
      </w:r>
      <w:bookmarkStart w:id="0" w:name="_GoBack"/>
      <w:bookmarkEnd w:id="0"/>
      <w:r>
        <w:rPr>
          <w:rFonts w:hint="eastAsia" w:ascii="仿宋" w:hAnsi="仿宋" w:eastAsia="仿宋" w:cs="仿宋"/>
          <w:sz w:val="32"/>
          <w:szCs w:val="32"/>
          <w:lang w:eastAsia="zh-CN"/>
        </w:rPr>
        <w:t>前3年内在经营活动中没有重大违法记录的书面声明；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投标</w:t>
      </w:r>
      <w:r>
        <w:rPr>
          <w:rFonts w:hint="eastAsia" w:ascii="仿宋" w:hAnsi="仿宋" w:eastAsia="仿宋" w:cs="仿宋"/>
          <w:sz w:val="32"/>
          <w:szCs w:val="32"/>
          <w:lang w:eastAsia="zh-CN"/>
        </w:rPr>
        <w:t>人</w:t>
      </w:r>
      <w:r>
        <w:rPr>
          <w:rFonts w:hint="eastAsia" w:ascii="仿宋" w:hAnsi="仿宋" w:eastAsia="仿宋" w:cs="仿宋"/>
          <w:sz w:val="32"/>
          <w:szCs w:val="32"/>
        </w:rPr>
        <w:t>认为需要提供的其他证明材料。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华文仿宋" w:hAnsi="华文仿宋" w:eastAsia="华文仿宋" w:cs="仿宋_GB2312"/>
          <w:b/>
          <w:bCs/>
          <w:sz w:val="32"/>
          <w:szCs w:val="32"/>
          <w:lang w:eastAsia="zh-CN"/>
        </w:rPr>
      </w:pPr>
      <w:r>
        <w:rPr>
          <w:rFonts w:hint="eastAsia" w:ascii="华文仿宋" w:hAnsi="华文仿宋" w:eastAsia="华文仿宋" w:cs="仿宋_GB2312"/>
          <w:b/>
          <w:bCs/>
          <w:sz w:val="32"/>
          <w:szCs w:val="32"/>
          <w:lang w:eastAsia="zh-CN"/>
        </w:rPr>
        <w:t>　　</w:t>
      </w:r>
      <w:r>
        <w:rPr>
          <w:rFonts w:hint="eastAsia" w:ascii="黑体" w:hAnsi="黑体" w:eastAsia="黑体" w:cs="黑体"/>
          <w:b w:val="0"/>
          <w:bCs w:val="0"/>
          <w:sz w:val="32"/>
          <w:szCs w:val="32"/>
          <w:lang w:eastAsia="zh-CN"/>
        </w:rPr>
        <w:t>八、投标文件要求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 w:hAnsi="仿宋" w:eastAsia="仿宋" w:cs="仿宋"/>
          <w:sz w:val="32"/>
          <w:szCs w:val="32"/>
          <w:lang w:val="en-US" w:eastAsia="zh-CN"/>
        </w:rPr>
      </w:pPr>
      <w:r>
        <w:rPr>
          <w:rFonts w:hint="eastAsia" w:ascii="华文仿宋" w:hAnsi="华文仿宋" w:eastAsia="华文仿宋" w:cs="仿宋_GB2312"/>
          <w:sz w:val="32"/>
          <w:szCs w:val="32"/>
          <w:lang w:val="en-US" w:eastAsia="zh-CN"/>
        </w:rPr>
        <w:t>　　</w:t>
      </w:r>
      <w:r>
        <w:rPr>
          <w:rFonts w:hint="eastAsia" w:ascii="仿宋" w:hAnsi="仿宋" w:eastAsia="仿宋" w:cs="仿宋"/>
          <w:sz w:val="32"/>
          <w:szCs w:val="32"/>
          <w:lang w:val="en-US" w:eastAsia="zh-CN"/>
        </w:rPr>
        <w:t>1.投标人按上述顺序编排目录，所有文件均需加盖公章;</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2.投标人的相关资质</w:t>
      </w:r>
      <w:r>
        <w:rPr>
          <w:rFonts w:hint="eastAsia" w:ascii="仿宋" w:hAnsi="仿宋" w:eastAsia="仿宋" w:cs="仿宋"/>
          <w:sz w:val="32"/>
          <w:szCs w:val="32"/>
        </w:rPr>
        <w:t>证明材料在确保清晰可识别的前提下可以缩印，便于减少响应文件篇幅</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38"/>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3.最终报价应包括在项目服务期内所有服务管理内容、设备、各种税费、人工、保险、劳保、维护、利润、税金、政策性规定及合同包含的所有风险、责任等各项应有费用。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38"/>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九、投标文件递交时间地点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38"/>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投标时间：2023年06月09日至2023年06月28日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38"/>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报送：投标文件（正本一份、副本二份）密封完好并在封口处加盖单位公章，于2023年06月28日17：00前交至常熟市民政局养老服务和社会事务科，逾期不受理。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38"/>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请</w:t>
      </w:r>
      <w:r>
        <w:rPr>
          <w:rFonts w:hint="eastAsia" w:ascii="仿宋" w:hAnsi="仿宋" w:eastAsia="仿宋" w:cs="仿宋"/>
          <w:sz w:val="32"/>
          <w:szCs w:val="32"/>
        </w:rPr>
        <w:t>有意向的</w:t>
      </w:r>
      <w:r>
        <w:rPr>
          <w:rFonts w:hint="eastAsia" w:ascii="仿宋" w:hAnsi="仿宋" w:eastAsia="仿宋" w:cs="仿宋"/>
          <w:sz w:val="32"/>
          <w:szCs w:val="32"/>
          <w:lang w:val="en-US" w:eastAsia="zh-CN"/>
        </w:rPr>
        <w:t>企业</w:t>
      </w:r>
      <w:r>
        <w:rPr>
          <w:rFonts w:hint="eastAsia" w:ascii="仿宋" w:hAnsi="仿宋" w:eastAsia="仿宋" w:cs="仿宋"/>
          <w:sz w:val="32"/>
          <w:szCs w:val="32"/>
        </w:rPr>
        <w:t>踊跃报名，积极投</w:t>
      </w:r>
      <w:r>
        <w:rPr>
          <w:rFonts w:hint="eastAsia" w:ascii="仿宋" w:hAnsi="仿宋" w:eastAsia="仿宋" w:cs="仿宋"/>
          <w:sz w:val="32"/>
          <w:szCs w:val="32"/>
          <w:lang w:eastAsia="zh-CN"/>
        </w:rPr>
        <w:t>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38"/>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招标工作完成后，承接方应与落地方另行签订详细的服务协议。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38"/>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lang w:eastAsia="zh-CN"/>
        </w:rPr>
        <w:t>钱芳　　曹迎月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38"/>
        <w:textAlignment w:val="auto"/>
        <w:outlineLvl w:val="9"/>
        <w:rPr>
          <w:rFonts w:hint="eastAsia"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0512-</w:t>
      </w:r>
      <w:r>
        <w:rPr>
          <w:rFonts w:hint="eastAsia" w:ascii="仿宋" w:hAnsi="仿宋" w:eastAsia="仿宋" w:cs="仿宋"/>
          <w:sz w:val="32"/>
          <w:szCs w:val="32"/>
        </w:rPr>
        <w:t>528</w:t>
      </w:r>
      <w:r>
        <w:rPr>
          <w:rFonts w:hint="eastAsia" w:ascii="仿宋" w:hAnsi="仿宋" w:eastAsia="仿宋" w:cs="仿宋"/>
          <w:sz w:val="32"/>
          <w:szCs w:val="32"/>
          <w:lang w:val="en-US" w:eastAsia="zh-CN"/>
        </w:rPr>
        <w:t>83073</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rPr>
      </w:pPr>
    </w:p>
    <w:p>
      <w:pPr>
        <w:pStyle w:val="11"/>
        <w:keepNext w:val="0"/>
        <w:keepLines w:val="0"/>
        <w:pageBreakBefore w:val="0"/>
        <w:widowControl w:val="0"/>
        <w:tabs>
          <w:tab w:val="center" w:pos="4153"/>
          <w:tab w:val="left" w:pos="7410"/>
        </w:tabs>
        <w:kinsoku/>
        <w:wordWrap/>
        <w:overflowPunct/>
        <w:topLinePunct w:val="0"/>
        <w:autoSpaceDE/>
        <w:autoSpaceDN/>
        <w:bidi w:val="0"/>
        <w:adjustRightInd/>
        <w:snapToGrid w:val="0"/>
        <w:spacing w:before="0" w:beforeAutospacing="0" w:after="0" w:afterAutospacing="0" w:line="600" w:lineRule="exact"/>
        <w:ind w:firstLine="638"/>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r>
        <w:rPr>
          <w:rFonts w:hint="eastAsia" w:ascii="仿宋" w:hAnsi="仿宋" w:eastAsia="仿宋" w:cs="仿宋"/>
          <w:kern w:val="2"/>
          <w:sz w:val="32"/>
          <w:szCs w:val="32"/>
          <w:lang w:val="en-US" w:eastAsia="zh-CN" w:bidi="ar-SA"/>
        </w:rPr>
        <w:t>常熟市民政局“2023年常熟市失能老年人家庭</w:t>
      </w:r>
    </w:p>
    <w:p>
      <w:pPr>
        <w:pStyle w:val="11"/>
        <w:keepNext w:val="0"/>
        <w:keepLines w:val="0"/>
        <w:pageBreakBefore w:val="0"/>
        <w:widowControl w:val="0"/>
        <w:tabs>
          <w:tab w:val="center" w:pos="4153"/>
          <w:tab w:val="left" w:pos="7410"/>
        </w:tabs>
        <w:kinsoku/>
        <w:wordWrap/>
        <w:overflowPunct/>
        <w:topLinePunct w:val="0"/>
        <w:autoSpaceDE/>
        <w:autoSpaceDN/>
        <w:bidi w:val="0"/>
        <w:adjustRightInd/>
        <w:snapToGrid w:val="0"/>
        <w:spacing w:before="0" w:beforeAutospacing="0" w:after="0" w:afterAutospacing="0" w:line="600" w:lineRule="exact"/>
        <w:ind w:firstLine="1920" w:firstLineChars="6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成员照护培训”项目投标文件</w:t>
      </w:r>
    </w:p>
    <w:p>
      <w:pPr>
        <w:pStyle w:val="11"/>
        <w:keepNext w:val="0"/>
        <w:keepLines w:val="0"/>
        <w:pageBreakBefore w:val="0"/>
        <w:widowControl w:val="0"/>
        <w:tabs>
          <w:tab w:val="center" w:pos="4153"/>
          <w:tab w:val="left" w:pos="7410"/>
        </w:tabs>
        <w:kinsoku/>
        <w:wordWrap/>
        <w:overflowPunct/>
        <w:topLinePunct w:val="0"/>
        <w:autoSpaceDE/>
        <w:autoSpaceDN/>
        <w:bidi w:val="0"/>
        <w:adjustRightInd/>
        <w:snapToGrid w:val="0"/>
        <w:spacing w:before="0" w:beforeAutospacing="0" w:after="0" w:afterAutospacing="0" w:line="600" w:lineRule="exact"/>
        <w:ind w:firstLine="638"/>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2.授权委托书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630" w:leftChars="3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p>
    <w:p>
      <w:pPr>
        <w:pStyle w:val="2"/>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4"/>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 xml:space="preserve">常熟市民政局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3284" w:leftChars="1564" w:firstLine="787" w:firstLineChars="246"/>
        <w:jc w:val="righ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2023</w:t>
      </w:r>
      <w:r>
        <w:rPr>
          <w:rFonts w:hint="eastAsia" w:ascii="仿宋" w:hAnsi="仿宋" w:eastAsia="仿宋" w:cs="仿宋"/>
          <w:sz w:val="32"/>
          <w:szCs w:val="32"/>
        </w:rPr>
        <w:t>年</w:t>
      </w:r>
      <w:r>
        <w:rPr>
          <w:rFonts w:hint="eastAsia" w:ascii="仿宋" w:hAnsi="仿宋" w:eastAsia="仿宋" w:cs="仿宋"/>
          <w:sz w:val="32"/>
          <w:szCs w:val="32"/>
          <w:lang w:val="en-US" w:eastAsia="zh-CN"/>
        </w:rPr>
        <w:t>06</w:t>
      </w:r>
      <w:r>
        <w:rPr>
          <w:rFonts w:hint="eastAsia" w:ascii="仿宋" w:hAnsi="仿宋" w:eastAsia="仿宋" w:cs="仿宋"/>
          <w:sz w:val="32"/>
          <w:szCs w:val="32"/>
        </w:rPr>
        <w:t>月</w:t>
      </w:r>
      <w:r>
        <w:rPr>
          <w:rFonts w:hint="eastAsia" w:ascii="仿宋" w:hAnsi="仿宋" w:eastAsia="仿宋" w:cs="仿宋"/>
          <w:sz w:val="32"/>
          <w:szCs w:val="32"/>
          <w:lang w:val="en-US" w:eastAsia="zh-CN"/>
        </w:rPr>
        <w:t>07</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left="3284" w:leftChars="1564" w:firstLine="787" w:firstLineChars="246"/>
        <w:jc w:val="right"/>
        <w:textAlignment w:val="auto"/>
        <w:outlineLvl w:val="9"/>
        <w:rPr>
          <w:rFonts w:hint="eastAsia" w:ascii="华文仿宋" w:hAnsi="华文仿宋" w:eastAsia="华文仿宋" w:cs="仿宋_GB2312"/>
          <w:sz w:val="32"/>
          <w:szCs w:val="32"/>
        </w:rPr>
      </w:pPr>
    </w:p>
    <w:sectPr>
      <w:headerReference r:id="rId3" w:type="default"/>
      <w:footerReference r:id="rId5" w:type="default"/>
      <w:headerReference r:id="rId4" w:type="even"/>
      <w:footerReference r:id="rId6" w:type="even"/>
      <w:pgSz w:w="11906" w:h="16838"/>
      <w:pgMar w:top="1389" w:right="1769" w:bottom="1389" w:left="1769" w:header="851" w:footer="992" w:gutter="0"/>
      <w:cols w:space="425" w:num="1"/>
      <w:docGrid w:type="linesAndChars" w:linePitch="502" w:charSpace="-1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8</w:t>
    </w:r>
    <w:r>
      <w:rPr>
        <w:rStyle w:val="14"/>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06D20"/>
    <w:multiLevelType w:val="singleLevel"/>
    <w:tmpl w:val="AEC06D20"/>
    <w:lvl w:ilvl="0" w:tentative="0">
      <w:start w:val="1"/>
      <w:numFmt w:val="decimal"/>
      <w:suff w:val="nothing"/>
      <w:lvlText w:val="（%1）"/>
      <w:lvlJc w:val="left"/>
    </w:lvl>
  </w:abstractNum>
  <w:abstractNum w:abstractNumId="1">
    <w:nsid w:val="4C0DA54F"/>
    <w:multiLevelType w:val="singleLevel"/>
    <w:tmpl w:val="4C0DA54F"/>
    <w:lvl w:ilvl="0" w:tentative="0">
      <w:start w:val="7"/>
      <w:numFmt w:val="chineseCounting"/>
      <w:suff w:val="nothing"/>
      <w:lvlText w:val="%1、"/>
      <w:lvlJc w:val="left"/>
      <w:pPr>
        <w:ind w:left="638"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09"/>
  <w:drawingGridVerticalSpacing w:val="251"/>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wOWYxYTEyMzdkNmRlNTNhMjY0YzI2NjQ5ZTM3YTYifQ=="/>
  </w:docVars>
  <w:rsids>
    <w:rsidRoot w:val="00F31A02"/>
    <w:rsid w:val="0001372B"/>
    <w:rsid w:val="00041DBD"/>
    <w:rsid w:val="000866A3"/>
    <w:rsid w:val="000A5656"/>
    <w:rsid w:val="000A6F31"/>
    <w:rsid w:val="000A6F97"/>
    <w:rsid w:val="0011750D"/>
    <w:rsid w:val="00136233"/>
    <w:rsid w:val="0015416D"/>
    <w:rsid w:val="001702BB"/>
    <w:rsid w:val="001D53B6"/>
    <w:rsid w:val="001D594A"/>
    <w:rsid w:val="0023274E"/>
    <w:rsid w:val="00233951"/>
    <w:rsid w:val="0023608E"/>
    <w:rsid w:val="00243B2B"/>
    <w:rsid w:val="002461D8"/>
    <w:rsid w:val="002576A5"/>
    <w:rsid w:val="00275A48"/>
    <w:rsid w:val="00293940"/>
    <w:rsid w:val="002A10A4"/>
    <w:rsid w:val="002D07DA"/>
    <w:rsid w:val="002D3D3B"/>
    <w:rsid w:val="003338A2"/>
    <w:rsid w:val="0035299B"/>
    <w:rsid w:val="0036513B"/>
    <w:rsid w:val="003712E5"/>
    <w:rsid w:val="00385019"/>
    <w:rsid w:val="003A2380"/>
    <w:rsid w:val="003D18D0"/>
    <w:rsid w:val="003F679E"/>
    <w:rsid w:val="00456A0D"/>
    <w:rsid w:val="00493A7F"/>
    <w:rsid w:val="004955CD"/>
    <w:rsid w:val="004A20A7"/>
    <w:rsid w:val="004D1B9C"/>
    <w:rsid w:val="004D3FD1"/>
    <w:rsid w:val="004D5AF8"/>
    <w:rsid w:val="004F5D59"/>
    <w:rsid w:val="005037C1"/>
    <w:rsid w:val="005365A5"/>
    <w:rsid w:val="00547BD2"/>
    <w:rsid w:val="00586965"/>
    <w:rsid w:val="00591733"/>
    <w:rsid w:val="00596390"/>
    <w:rsid w:val="005A70C7"/>
    <w:rsid w:val="005D1FAC"/>
    <w:rsid w:val="005E2FBB"/>
    <w:rsid w:val="005F4923"/>
    <w:rsid w:val="00604494"/>
    <w:rsid w:val="00665FBF"/>
    <w:rsid w:val="00666EBF"/>
    <w:rsid w:val="0066792E"/>
    <w:rsid w:val="006C1B75"/>
    <w:rsid w:val="0071700C"/>
    <w:rsid w:val="00724329"/>
    <w:rsid w:val="00731E4C"/>
    <w:rsid w:val="00754933"/>
    <w:rsid w:val="00755ED5"/>
    <w:rsid w:val="00776B91"/>
    <w:rsid w:val="007F6394"/>
    <w:rsid w:val="00820283"/>
    <w:rsid w:val="008468FB"/>
    <w:rsid w:val="00863805"/>
    <w:rsid w:val="00885E70"/>
    <w:rsid w:val="0089411E"/>
    <w:rsid w:val="008A3E66"/>
    <w:rsid w:val="008D21AB"/>
    <w:rsid w:val="0096396C"/>
    <w:rsid w:val="0097779A"/>
    <w:rsid w:val="00990747"/>
    <w:rsid w:val="00990D9A"/>
    <w:rsid w:val="009C4A44"/>
    <w:rsid w:val="009C5F75"/>
    <w:rsid w:val="009D030F"/>
    <w:rsid w:val="009F5B8D"/>
    <w:rsid w:val="00A14090"/>
    <w:rsid w:val="00A27D27"/>
    <w:rsid w:val="00A33171"/>
    <w:rsid w:val="00A516EA"/>
    <w:rsid w:val="00AD1651"/>
    <w:rsid w:val="00AD6202"/>
    <w:rsid w:val="00AE1B9F"/>
    <w:rsid w:val="00AF2299"/>
    <w:rsid w:val="00B1566D"/>
    <w:rsid w:val="00B3062D"/>
    <w:rsid w:val="00B41575"/>
    <w:rsid w:val="00B53761"/>
    <w:rsid w:val="00B7631A"/>
    <w:rsid w:val="00B948EF"/>
    <w:rsid w:val="00BB70F0"/>
    <w:rsid w:val="00BE18F2"/>
    <w:rsid w:val="00C20C5F"/>
    <w:rsid w:val="00C431D9"/>
    <w:rsid w:val="00C55DB4"/>
    <w:rsid w:val="00C85B82"/>
    <w:rsid w:val="00CB6C9A"/>
    <w:rsid w:val="00CC31A3"/>
    <w:rsid w:val="00CD446D"/>
    <w:rsid w:val="00CD49B5"/>
    <w:rsid w:val="00CD67A2"/>
    <w:rsid w:val="00CE63DD"/>
    <w:rsid w:val="00D13FFE"/>
    <w:rsid w:val="00D6359A"/>
    <w:rsid w:val="00D658EC"/>
    <w:rsid w:val="00D72DE1"/>
    <w:rsid w:val="00D80042"/>
    <w:rsid w:val="00D94AE4"/>
    <w:rsid w:val="00DC7AA6"/>
    <w:rsid w:val="00DD55AE"/>
    <w:rsid w:val="00DD63AB"/>
    <w:rsid w:val="00DF36FE"/>
    <w:rsid w:val="00E065AE"/>
    <w:rsid w:val="00E26D2E"/>
    <w:rsid w:val="00E3412D"/>
    <w:rsid w:val="00E476FF"/>
    <w:rsid w:val="00E70D20"/>
    <w:rsid w:val="00E96E0C"/>
    <w:rsid w:val="00ED02B2"/>
    <w:rsid w:val="00ED11B0"/>
    <w:rsid w:val="00EF32B3"/>
    <w:rsid w:val="00F31A02"/>
    <w:rsid w:val="00F36967"/>
    <w:rsid w:val="00F83AE4"/>
    <w:rsid w:val="00F932A2"/>
    <w:rsid w:val="00F952AC"/>
    <w:rsid w:val="00FA1794"/>
    <w:rsid w:val="00FA2F0A"/>
    <w:rsid w:val="00FC07E1"/>
    <w:rsid w:val="00FC4B0F"/>
    <w:rsid w:val="00FD0FD3"/>
    <w:rsid w:val="012579E2"/>
    <w:rsid w:val="028B328A"/>
    <w:rsid w:val="03D012F0"/>
    <w:rsid w:val="100076EB"/>
    <w:rsid w:val="1165028B"/>
    <w:rsid w:val="160F6D1B"/>
    <w:rsid w:val="18153AEF"/>
    <w:rsid w:val="19174997"/>
    <w:rsid w:val="1C831A35"/>
    <w:rsid w:val="1CC404F1"/>
    <w:rsid w:val="288B3466"/>
    <w:rsid w:val="2FF6627C"/>
    <w:rsid w:val="30C5473C"/>
    <w:rsid w:val="34E019FB"/>
    <w:rsid w:val="34FC192E"/>
    <w:rsid w:val="3FF03747"/>
    <w:rsid w:val="414C30C4"/>
    <w:rsid w:val="440F337B"/>
    <w:rsid w:val="44D72A5B"/>
    <w:rsid w:val="50E801AF"/>
    <w:rsid w:val="5A3265DC"/>
    <w:rsid w:val="5C9D6D88"/>
    <w:rsid w:val="6175735F"/>
    <w:rsid w:val="636835B9"/>
    <w:rsid w:val="6C633974"/>
    <w:rsid w:val="6F7F6F1D"/>
    <w:rsid w:val="70143E0F"/>
    <w:rsid w:val="702E5BCB"/>
    <w:rsid w:val="72024B78"/>
    <w:rsid w:val="72631893"/>
    <w:rsid w:val="754E687C"/>
    <w:rsid w:val="75F9173F"/>
    <w:rsid w:val="782E7ECE"/>
    <w:rsid w:val="79AF7533"/>
    <w:rsid w:val="7D1A3106"/>
    <w:rsid w:val="7EC81FEE"/>
    <w:rsid w:val="7F2B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pPr>
  </w:style>
  <w:style w:type="paragraph" w:styleId="3">
    <w:name w:val="Body Text"/>
    <w:basedOn w:val="1"/>
    <w:next w:val="4"/>
    <w:qFormat/>
    <w:uiPriority w:val="0"/>
    <w:rPr>
      <w:sz w:val="24"/>
    </w:rPr>
  </w:style>
  <w:style w:type="paragraph" w:customStyle="1" w:styleId="4">
    <w:name w:val="Default"/>
    <w:qFormat/>
    <w:uiPriority w:val="0"/>
    <w:pPr>
      <w:widowControl w:val="0"/>
      <w:autoSpaceDE w:val="0"/>
      <w:autoSpaceDN w:val="0"/>
      <w:adjustRightInd w:val="0"/>
    </w:pPr>
    <w:rPr>
      <w:rFonts w:ascii="黑体" w:hAnsi="Times New Roman" w:eastAsia="黑体" w:cs="黑体"/>
      <w:color w:val="000000"/>
      <w:kern w:val="2"/>
      <w:sz w:val="24"/>
      <w:szCs w:val="24"/>
      <w:lang w:val="en-US" w:eastAsia="zh-CN" w:bidi="ar-SA"/>
    </w:rPr>
  </w:style>
  <w:style w:type="paragraph" w:styleId="5">
    <w:name w:val="Normal Indent"/>
    <w:basedOn w:val="1"/>
    <w:qFormat/>
    <w:uiPriority w:val="0"/>
    <w:pPr>
      <w:adjustRightInd w:val="0"/>
      <w:ind w:firstLine="420"/>
      <w:jc w:val="left"/>
      <w:textAlignment w:val="baseline"/>
    </w:pPr>
    <w:rPr>
      <w:rFonts w:ascii="Times New Roman" w:hAnsi="Times New Roman" w:eastAsia="楷体_GB2312" w:cs="Times New Roman"/>
      <w:sz w:val="24"/>
      <w:szCs w:val="20"/>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9"/>
    <w:next w:val="1"/>
    <w:qFormat/>
    <w:uiPriority w:val="39"/>
  </w:style>
  <w:style w:type="paragraph" w:styleId="9">
    <w:name w:val="index 1"/>
    <w:basedOn w:val="1"/>
    <w:next w:val="1"/>
    <w:unhideWhenUsed/>
    <w:qFormat/>
    <w:uiPriority w:val="99"/>
  </w:style>
  <w:style w:type="paragraph" w:styleId="10">
    <w:name w:val="Body Text Indent 3"/>
    <w:basedOn w:val="1"/>
    <w:link w:val="19"/>
    <w:qFormat/>
    <w:uiPriority w:val="99"/>
    <w:pPr>
      <w:spacing w:after="120"/>
      <w:ind w:left="420" w:leftChars="200"/>
    </w:pPr>
    <w:rPr>
      <w:rFonts w:ascii="Times New Roman" w:hAnsi="Times New Roman" w:eastAsia="宋体" w:cs="Times New Roman"/>
      <w:sz w:val="16"/>
      <w:szCs w:val="16"/>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Times New Roman"/>
      <w:kern w:val="0"/>
      <w:sz w:val="24"/>
      <w:szCs w:val="20"/>
    </w:rPr>
  </w:style>
  <w:style w:type="character" w:styleId="14">
    <w:name w:val="page number"/>
    <w:qFormat/>
    <w:uiPriority w:val="0"/>
    <w:rPr>
      <w:rFonts w:cs="Times New Roman"/>
    </w:rPr>
  </w:style>
  <w:style w:type="character" w:customStyle="1" w:styleId="15">
    <w:name w:val="页眉 Char"/>
    <w:basedOn w:val="13"/>
    <w:link w:val="7"/>
    <w:semiHidden/>
    <w:qFormat/>
    <w:uiPriority w:val="99"/>
    <w:rPr>
      <w:sz w:val="18"/>
      <w:szCs w:val="18"/>
    </w:rPr>
  </w:style>
  <w:style w:type="character" w:customStyle="1" w:styleId="16">
    <w:name w:val="页脚 Char"/>
    <w:basedOn w:val="13"/>
    <w:link w:val="6"/>
    <w:qFormat/>
    <w:uiPriority w:val="0"/>
    <w:rPr>
      <w:sz w:val="18"/>
      <w:szCs w:val="18"/>
    </w:rPr>
  </w:style>
  <w:style w:type="paragraph" w:customStyle="1" w:styleId="17">
    <w:name w:val="List Paragraph"/>
    <w:basedOn w:val="1"/>
    <w:qFormat/>
    <w:uiPriority w:val="34"/>
    <w:pPr>
      <w:ind w:firstLine="420" w:firstLineChars="200"/>
    </w:pPr>
  </w:style>
  <w:style w:type="character" w:customStyle="1" w:styleId="18">
    <w:name w:val="正文文本缩进 3 Char1"/>
    <w:link w:val="10"/>
    <w:qFormat/>
    <w:uiPriority w:val="99"/>
    <w:rPr>
      <w:rFonts w:ascii="Times New Roman" w:hAnsi="Times New Roman" w:eastAsia="宋体" w:cs="Times New Roman"/>
      <w:sz w:val="16"/>
      <w:szCs w:val="16"/>
    </w:rPr>
  </w:style>
  <w:style w:type="character" w:customStyle="1" w:styleId="19">
    <w:name w:val="正文文本缩进 3 Char"/>
    <w:basedOn w:val="13"/>
    <w:link w:val="10"/>
    <w:semiHidden/>
    <w:qFormat/>
    <w:uiPriority w:val="99"/>
    <w:rPr>
      <w:sz w:val="16"/>
      <w:szCs w:val="16"/>
    </w:rPr>
  </w:style>
  <w:style w:type="paragraph" w:customStyle="1" w:styleId="20">
    <w:name w:val="纯文本1"/>
    <w:basedOn w:val="1"/>
    <w:qFormat/>
    <w:uiPriority w:val="0"/>
    <w:pPr>
      <w:adjustRightInd w:val="0"/>
      <w:textAlignment w:val="baseline"/>
    </w:pPr>
    <w:rPr>
      <w:rFonts w:ascii="宋体" w:hAnsi="Courier New" w:eastAsia="楷体_GB2312" w:cs="Times New Roman"/>
      <w:sz w:val="26"/>
      <w:szCs w:val="20"/>
    </w:rPr>
  </w:style>
  <w:style w:type="paragraph" w:customStyle="1" w:styleId="21">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7444-2177-4F84-A1EE-9809C79C2D38}">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2302</Words>
  <Characters>2451</Characters>
  <Lines>21</Lines>
  <Paragraphs>6</Paragraphs>
  <TotalTime>3</TotalTime>
  <ScaleCrop>false</ScaleCrop>
  <LinksUpToDate>false</LinksUpToDate>
  <CharactersWithSpaces>2504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2017-03-25T07:31:00Z</dcterms:created>
  <dc:creator>3</dc:creator>
  <cp:lastModifiedBy>Administrator</cp:lastModifiedBy>
  <cp:lastPrinted>2023-06-09T02:03:32Z</cp:lastPrinted>
  <dcterms:modified xsi:type="dcterms:W3CDTF">2023-06-09T02:03:35Z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72129A81345F45B7823EE50C03DDFB88_12</vt:lpwstr>
  </property>
</Properties>
</file>