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0A6E80">
      <w:pPr>
        <w:tabs>
          <w:tab w:val="left" w:pos="5550"/>
        </w:tabs>
        <w:spacing w:line="520" w:lineRule="exact"/>
        <w:jc w:val="center"/>
        <w:rPr>
          <w:rFonts w:ascii="宋体" w:hAnsi="宋体" w:cs="宋体"/>
          <w:b/>
          <w:bCs/>
          <w:sz w:val="44"/>
          <w:szCs w:val="44"/>
        </w:rPr>
      </w:pPr>
      <w:r>
        <w:rPr>
          <w:rFonts w:hint="eastAsia" w:ascii="宋体" w:hAnsi="宋体" w:cs="宋体"/>
          <w:sz w:val="28"/>
          <w:szCs w:val="28"/>
        </w:rPr>
        <w:t xml:space="preserve">常东街呈[2024]1号   </w:t>
      </w:r>
    </w:p>
    <w:p w14:paraId="50CB0A47">
      <w:pPr>
        <w:spacing w:line="560" w:lineRule="exact"/>
        <w:jc w:val="center"/>
        <w:rPr>
          <w:rFonts w:hint="eastAsia" w:ascii="仿宋_GB2312" w:eastAsia="仿宋_GB2312"/>
          <w:sz w:val="32"/>
          <w:szCs w:val="32"/>
        </w:rPr>
      </w:pPr>
      <w:r>
        <w:rPr>
          <w:rFonts w:hint="eastAsia" w:ascii="方正小标宋简体" w:eastAsia="方正小标宋简体"/>
          <w:sz w:val="44"/>
          <w:szCs w:val="44"/>
        </w:rPr>
        <w:t>2023年度东南街道法治政府建设工作报告</w:t>
      </w:r>
    </w:p>
    <w:p w14:paraId="1B3828B1">
      <w:pPr>
        <w:spacing w:line="560" w:lineRule="exact"/>
        <w:rPr>
          <w:rFonts w:ascii="仿宋_GB2312" w:hAnsi="仿宋_GB2312" w:eastAsia="仿宋_GB2312" w:cs="仿宋_GB2312"/>
          <w:sz w:val="32"/>
          <w:szCs w:val="32"/>
        </w:rPr>
      </w:pPr>
    </w:p>
    <w:p w14:paraId="08227847">
      <w:pPr>
        <w:pStyle w:val="2"/>
        <w:rPr>
          <w:rFonts w:hint="default" w:eastAsia="仿宋_GB2312"/>
          <w:lang w:val="en-US" w:eastAsia="zh-CN"/>
        </w:rPr>
      </w:pPr>
      <w:r>
        <w:rPr>
          <w:rFonts w:hint="eastAsia" w:ascii="仿宋_GB2312" w:hAnsi="仿宋_GB2312" w:eastAsia="仿宋_GB2312" w:cs="仿宋_GB2312"/>
          <w:sz w:val="32"/>
          <w:szCs w:val="32"/>
          <w:lang w:val="en-US" w:eastAsia="zh-CN"/>
        </w:rPr>
        <w:t>常熟市人民政府：</w:t>
      </w:r>
    </w:p>
    <w:p w14:paraId="61E068D6">
      <w:pPr>
        <w:spacing w:line="560" w:lineRule="exact"/>
        <w:ind w:firstLine="640" w:firstLineChars="200"/>
        <w:rPr>
          <w:rFonts w:eastAsia="仿宋_GB2312"/>
          <w:sz w:val="32"/>
          <w:szCs w:val="32"/>
        </w:rPr>
      </w:pPr>
      <w:r>
        <w:rPr>
          <w:rFonts w:eastAsia="仿宋_GB2312"/>
          <w:sz w:val="32"/>
          <w:szCs w:val="32"/>
        </w:rPr>
        <w:t>2023年度，在市委、市政府正确领导和街道党工委、办事处统一部署下，东南街道坚持以习近平新时代中国特色社会主义思想为指导，深入学习宣传贯彻习近平法治思想和党的二十大精神，紧紧围绕法治政府建设总体目标，大力开展普法教育，扎实推进依法行政，为东南街道经济社会高质量发展营造了良好的法治环境。现将街道2023年度法治政府建设工作报告如</w:t>
      </w:r>
      <w:r>
        <w:rPr>
          <w:rFonts w:hint="eastAsia" w:eastAsia="仿宋_GB2312"/>
          <w:sz w:val="32"/>
          <w:szCs w:val="32"/>
        </w:rPr>
        <w:t>下。</w:t>
      </w:r>
    </w:p>
    <w:p w14:paraId="46A29D13">
      <w:pPr>
        <w:spacing w:line="560" w:lineRule="exact"/>
        <w:ind w:firstLine="640" w:firstLineChars="200"/>
        <w:rPr>
          <w:rFonts w:ascii="黑体" w:hAnsi="黑体" w:eastAsia="黑体"/>
          <w:sz w:val="32"/>
          <w:szCs w:val="32"/>
        </w:rPr>
      </w:pPr>
      <w:r>
        <w:rPr>
          <w:rFonts w:hint="eastAsia" w:ascii="黑体" w:hAnsi="黑体" w:eastAsia="黑体"/>
          <w:sz w:val="32"/>
          <w:szCs w:val="32"/>
        </w:rPr>
        <w:t>一、</w:t>
      </w:r>
      <w:r>
        <w:rPr>
          <w:rFonts w:ascii="黑体" w:hAnsi="黑体" w:eastAsia="黑体"/>
          <w:sz w:val="32"/>
          <w:szCs w:val="32"/>
        </w:rPr>
        <w:t>坚持党建引领，</w:t>
      </w:r>
      <w:r>
        <w:rPr>
          <w:rFonts w:hint="eastAsia" w:ascii="黑体" w:hAnsi="黑体" w:eastAsia="黑体"/>
          <w:sz w:val="32"/>
          <w:szCs w:val="32"/>
        </w:rPr>
        <w:t>确保</w:t>
      </w:r>
      <w:r>
        <w:rPr>
          <w:rFonts w:ascii="黑体" w:hAnsi="黑体" w:eastAsia="黑体"/>
          <w:sz w:val="32"/>
          <w:szCs w:val="32"/>
        </w:rPr>
        <w:t>落实依法行政</w:t>
      </w:r>
      <w:r>
        <w:rPr>
          <w:rFonts w:hint="eastAsia" w:ascii="黑体" w:hAnsi="黑体" w:eastAsia="黑体"/>
          <w:sz w:val="32"/>
          <w:szCs w:val="32"/>
        </w:rPr>
        <w:t>要求</w:t>
      </w:r>
    </w:p>
    <w:p w14:paraId="32CA73C4">
      <w:pPr>
        <w:spacing w:line="560" w:lineRule="exact"/>
        <w:ind w:firstLine="640" w:firstLineChars="200"/>
        <w:rPr>
          <w:rFonts w:eastAsia="仿宋_GB2312"/>
          <w:sz w:val="32"/>
          <w:szCs w:val="32"/>
        </w:rPr>
      </w:pPr>
      <w:r>
        <w:rPr>
          <w:rFonts w:hint="eastAsia" w:ascii="楷体" w:hAnsi="楷体" w:eastAsia="楷体"/>
          <w:sz w:val="32"/>
          <w:szCs w:val="32"/>
        </w:rPr>
        <w:t>一是</w:t>
      </w:r>
      <w:r>
        <w:rPr>
          <w:rFonts w:ascii="楷体" w:hAnsi="楷体" w:eastAsia="楷体"/>
          <w:sz w:val="32"/>
          <w:szCs w:val="32"/>
        </w:rPr>
        <w:t>加强组织领导，推动街道法治建设</w:t>
      </w:r>
      <w:r>
        <w:rPr>
          <w:rFonts w:hint="eastAsia" w:ascii="楷体" w:hAnsi="楷体" w:eastAsia="楷体"/>
          <w:sz w:val="32"/>
          <w:szCs w:val="32"/>
        </w:rPr>
        <w:t>。</w:t>
      </w:r>
      <w:r>
        <w:rPr>
          <w:rFonts w:eastAsia="仿宋_GB2312"/>
          <w:sz w:val="32"/>
          <w:szCs w:val="32"/>
        </w:rPr>
        <w:t>东南街道党工委、办事处高度重视法治政府建设工作，把法治政府建设作为一项重要政治任务来抓。及时调整全面依法治街道委员会成员，坚持在党工委统一领导下扎实推进法治政府建设各项任务。明确街道党政主要负责人全面履行依法治街道的第一责任，切实成为法治建设重要组织者、推动者和实践者，带头推进依法行政工作，重大问题及时过问、协调，及时研究解决有关问题，提出指导意见。</w:t>
      </w:r>
    </w:p>
    <w:p w14:paraId="5A0E126C">
      <w:pPr>
        <w:spacing w:line="560" w:lineRule="exact"/>
        <w:ind w:firstLine="640" w:firstLineChars="200"/>
        <w:rPr>
          <w:rFonts w:eastAsia="仿宋_GB2312"/>
          <w:sz w:val="32"/>
          <w:szCs w:val="32"/>
        </w:rPr>
      </w:pPr>
      <w:r>
        <w:rPr>
          <w:rFonts w:hint="eastAsia" w:ascii="楷体" w:hAnsi="楷体" w:eastAsia="楷体"/>
          <w:sz w:val="32"/>
          <w:szCs w:val="32"/>
        </w:rPr>
        <w:t>二是</w:t>
      </w:r>
      <w:r>
        <w:rPr>
          <w:rFonts w:ascii="楷体" w:hAnsi="楷体" w:eastAsia="楷体"/>
          <w:sz w:val="32"/>
          <w:szCs w:val="32"/>
        </w:rPr>
        <w:t>加强队伍建设，提升依法行政水平</w:t>
      </w:r>
      <w:r>
        <w:rPr>
          <w:rFonts w:hint="eastAsia" w:ascii="楷体" w:hAnsi="楷体" w:eastAsia="楷体"/>
          <w:sz w:val="32"/>
          <w:szCs w:val="32"/>
        </w:rPr>
        <w:t>。</w:t>
      </w:r>
      <w:r>
        <w:rPr>
          <w:rFonts w:eastAsia="仿宋_GB2312"/>
          <w:color w:val="000000"/>
          <w:sz w:val="32"/>
          <w:szCs w:val="32"/>
        </w:rPr>
        <w:t>将习近平法治思想和相关法律学习列入党工委中心组理论学习计划，推动学法常态化，年内集体学法4次，组织机关工作人员、综合执法局队员开展法律专题培训7场，邀请法律顾问为村干部开展习近平法治思想讲座2场，</w:t>
      </w:r>
      <w:r>
        <w:rPr>
          <w:rFonts w:eastAsia="仿宋_GB2312"/>
          <w:sz w:val="32"/>
          <w:szCs w:val="32"/>
        </w:rPr>
        <w:t>积极开展领导干部季度学法、百万党员学宪法学党章考法律等活动，以学促干，不断提升辖区干部依法行政能力。</w:t>
      </w:r>
    </w:p>
    <w:p w14:paraId="227E6FFE">
      <w:pPr>
        <w:spacing w:line="560" w:lineRule="exact"/>
        <w:ind w:firstLine="640" w:firstLineChars="200"/>
        <w:rPr>
          <w:rFonts w:eastAsia="仿宋_GB2312"/>
          <w:sz w:val="32"/>
          <w:szCs w:val="32"/>
        </w:rPr>
      </w:pPr>
      <w:r>
        <w:rPr>
          <w:rFonts w:hint="eastAsia" w:ascii="楷体" w:hAnsi="楷体" w:eastAsia="楷体"/>
          <w:sz w:val="32"/>
          <w:szCs w:val="32"/>
        </w:rPr>
        <w:t>三是</w:t>
      </w:r>
      <w:r>
        <w:rPr>
          <w:rFonts w:ascii="楷体" w:hAnsi="楷体" w:eastAsia="楷体"/>
          <w:sz w:val="32"/>
          <w:szCs w:val="32"/>
        </w:rPr>
        <w:t>压实工作责任，把好法治建设方向</w:t>
      </w:r>
      <w:r>
        <w:rPr>
          <w:rFonts w:hint="eastAsia" w:ascii="楷体" w:hAnsi="楷体" w:eastAsia="楷体"/>
          <w:sz w:val="32"/>
          <w:szCs w:val="32"/>
        </w:rPr>
        <w:t>。</w:t>
      </w:r>
      <w:r>
        <w:rPr>
          <w:rFonts w:eastAsia="仿宋_GB2312"/>
          <w:sz w:val="32"/>
          <w:szCs w:val="32"/>
        </w:rPr>
        <w:t>强化领导干部示范，把好用权“方向盘”、系好法治“安全带”，杜绝不作为、慢作为、乱作为现象。将依法治街道建设成效作为衡量街道村两级班子工作实绩的重要内容，纳入年终个人述职和考核。</w:t>
      </w:r>
    </w:p>
    <w:p w14:paraId="13AD5E56">
      <w:pPr>
        <w:spacing w:line="560" w:lineRule="exact"/>
        <w:ind w:firstLine="640" w:firstLineChars="200"/>
        <w:rPr>
          <w:rFonts w:ascii="黑体" w:hAnsi="黑体" w:eastAsia="黑体"/>
          <w:sz w:val="32"/>
          <w:szCs w:val="32"/>
        </w:rPr>
      </w:pPr>
      <w:r>
        <w:rPr>
          <w:rFonts w:ascii="黑体" w:hAnsi="黑体" w:eastAsia="黑体"/>
          <w:sz w:val="32"/>
          <w:szCs w:val="32"/>
        </w:rPr>
        <w:t>二、纵深推进依法行政，持续规范行政权力运行</w:t>
      </w:r>
    </w:p>
    <w:p w14:paraId="47625D46">
      <w:pPr>
        <w:spacing w:line="560" w:lineRule="exact"/>
        <w:ind w:firstLine="640" w:firstLineChars="200"/>
        <w:rPr>
          <w:rFonts w:eastAsia="仿宋_GB2312"/>
          <w:sz w:val="32"/>
          <w:szCs w:val="32"/>
        </w:rPr>
      </w:pPr>
      <w:r>
        <w:rPr>
          <w:rFonts w:hint="eastAsia" w:ascii="楷体" w:hAnsi="楷体" w:eastAsia="楷体"/>
          <w:sz w:val="32"/>
          <w:szCs w:val="32"/>
        </w:rPr>
        <w:t>一是</w:t>
      </w:r>
      <w:r>
        <w:rPr>
          <w:rFonts w:ascii="楷体" w:hAnsi="楷体" w:eastAsia="楷体"/>
          <w:sz w:val="32"/>
          <w:szCs w:val="32"/>
        </w:rPr>
        <w:t>落实行政执法监督</w:t>
      </w:r>
      <w:r>
        <w:rPr>
          <w:rFonts w:hint="eastAsia" w:ascii="楷体" w:hAnsi="楷体" w:eastAsia="楷体"/>
          <w:sz w:val="32"/>
          <w:szCs w:val="32"/>
        </w:rPr>
        <w:t>。</w:t>
      </w:r>
      <w:r>
        <w:rPr>
          <w:rFonts w:eastAsia="仿宋_GB2312"/>
          <w:sz w:val="32"/>
          <w:szCs w:val="32"/>
        </w:rPr>
        <w:t>做好行政执法队伍建设，完成辖区2名新入职综合行政执法人员执法证新申领，先后组织执法队员开展基层政府常见行政纠纷实务工作培训、参加市强化行政执法能力建设专题培训等活动。及时对综合行政执法局重大行政处罚决定开展法制审核，全年出具法制审核意见书5</w:t>
      </w:r>
      <w:r>
        <w:rPr>
          <w:rFonts w:hint="eastAsia" w:eastAsia="仿宋_GB2312"/>
          <w:sz w:val="32"/>
          <w:szCs w:val="32"/>
        </w:rPr>
        <w:t>6</w:t>
      </w:r>
      <w:r>
        <w:rPr>
          <w:rFonts w:eastAsia="仿宋_GB2312"/>
          <w:sz w:val="32"/>
          <w:szCs w:val="32"/>
        </w:rPr>
        <w:t>份，悉数被执法局采纳，行政执法全年“零复议”、“零诉讼”。</w:t>
      </w:r>
    </w:p>
    <w:p w14:paraId="0EF0524A">
      <w:pPr>
        <w:spacing w:line="560" w:lineRule="exact"/>
        <w:ind w:firstLine="640" w:firstLineChars="200"/>
        <w:jc w:val="left"/>
        <w:rPr>
          <w:rFonts w:eastAsia="仿宋_GB2312"/>
          <w:sz w:val="32"/>
          <w:szCs w:val="32"/>
        </w:rPr>
      </w:pPr>
      <w:r>
        <w:rPr>
          <w:rFonts w:ascii="楷体" w:hAnsi="楷体" w:eastAsia="楷体"/>
          <w:sz w:val="32"/>
          <w:szCs w:val="32"/>
        </w:rPr>
        <w:t>二</w:t>
      </w:r>
      <w:r>
        <w:rPr>
          <w:rFonts w:hint="eastAsia" w:ascii="楷体" w:hAnsi="楷体" w:eastAsia="楷体"/>
          <w:sz w:val="32"/>
          <w:szCs w:val="32"/>
        </w:rPr>
        <w:t>是</w:t>
      </w:r>
      <w:r>
        <w:rPr>
          <w:rFonts w:ascii="楷体" w:hAnsi="楷体" w:eastAsia="楷体"/>
          <w:sz w:val="32"/>
          <w:szCs w:val="32"/>
        </w:rPr>
        <w:t>严把重大行政决策</w:t>
      </w:r>
      <w:r>
        <w:rPr>
          <w:rFonts w:hint="eastAsia" w:ascii="楷体" w:hAnsi="楷体" w:eastAsia="楷体"/>
          <w:sz w:val="32"/>
          <w:szCs w:val="32"/>
        </w:rPr>
        <w:t>。</w:t>
      </w:r>
      <w:r>
        <w:rPr>
          <w:rFonts w:eastAsia="仿宋_GB2312"/>
          <w:sz w:val="32"/>
          <w:szCs w:val="32"/>
        </w:rPr>
        <w:t>根据要求严格落实规范性文件备案审查制度，并对街道规范性文件进行清理，本年度，东南街道无新增及废止规范性文件。同时，及时对高新区开发建设项目进行社会稳定风险评估，确保程序正当、评估准确。本年度，完成23个征地项目的社会稳定风险评估。</w:t>
      </w:r>
    </w:p>
    <w:p w14:paraId="7E407963">
      <w:pPr>
        <w:widowControl/>
        <w:spacing w:line="560" w:lineRule="exact"/>
        <w:ind w:firstLine="640" w:firstLineChars="200"/>
        <w:rPr>
          <w:rFonts w:eastAsia="仿宋_GB2312"/>
          <w:sz w:val="32"/>
          <w:szCs w:val="32"/>
        </w:rPr>
      </w:pPr>
      <w:r>
        <w:rPr>
          <w:rFonts w:ascii="楷体" w:hAnsi="楷体" w:eastAsia="楷体"/>
          <w:sz w:val="32"/>
          <w:szCs w:val="32"/>
        </w:rPr>
        <w:t>三是扎实推进为民履职</w:t>
      </w:r>
      <w:r>
        <w:rPr>
          <w:rFonts w:hint="eastAsia" w:ascii="楷体" w:hAnsi="楷体" w:eastAsia="楷体"/>
          <w:sz w:val="32"/>
          <w:szCs w:val="32"/>
        </w:rPr>
        <w:t>。</w:t>
      </w:r>
      <w:r>
        <w:rPr>
          <w:rFonts w:eastAsia="仿宋_GB2312"/>
          <w:sz w:val="32"/>
          <w:szCs w:val="32"/>
        </w:rPr>
        <w:t>深入开展“</w:t>
      </w:r>
      <w:r>
        <w:rPr>
          <w:rFonts w:hint="eastAsia" w:eastAsia="仿宋_GB2312"/>
          <w:sz w:val="32"/>
          <w:szCs w:val="32"/>
        </w:rPr>
        <w:t>微微行动</w:t>
      </w:r>
      <w:r>
        <w:rPr>
          <w:rFonts w:eastAsia="仿宋_GB2312"/>
          <w:sz w:val="32"/>
          <w:szCs w:val="32"/>
        </w:rPr>
        <w:t>”“村村到、户户进、人人访”等</w:t>
      </w:r>
      <w:r>
        <w:rPr>
          <w:rFonts w:hint="eastAsia" w:eastAsia="仿宋_GB2312"/>
          <w:sz w:val="32"/>
          <w:szCs w:val="32"/>
        </w:rPr>
        <w:t>系列</w:t>
      </w:r>
      <w:r>
        <w:rPr>
          <w:rFonts w:eastAsia="仿宋_GB2312"/>
          <w:sz w:val="32"/>
          <w:szCs w:val="32"/>
        </w:rPr>
        <w:t>活动，倾听社情民意，了解民生所需。按时办结“数字城管”3769件、“12345”各类工单11288件，群众满意率98.02%。持续深化“放管服”改革，推进“股权转让一件事”、“企业开办一件事”、市场主体“1+N”注销套餐改革等便民利企工作，办结审批办理、民生服务超10.3万件，街道便民服务中心被苏州市总工会评为2023年苏州市工人先锋号，被苏州市团委评为2023年苏州市三星青年文明号。</w:t>
      </w:r>
    </w:p>
    <w:p w14:paraId="24A9D54B">
      <w:pPr>
        <w:widowControl/>
        <w:spacing w:line="560" w:lineRule="exact"/>
        <w:ind w:firstLine="640" w:firstLineChars="200"/>
        <w:rPr>
          <w:rFonts w:eastAsia="仿宋_GB2312"/>
          <w:sz w:val="32"/>
          <w:szCs w:val="32"/>
        </w:rPr>
      </w:pPr>
      <w:r>
        <w:rPr>
          <w:rFonts w:hint="eastAsia" w:ascii="楷体" w:hAnsi="楷体" w:eastAsia="楷体"/>
          <w:sz w:val="32"/>
          <w:szCs w:val="32"/>
        </w:rPr>
        <w:t>四是</w:t>
      </w:r>
      <w:r>
        <w:rPr>
          <w:rFonts w:ascii="楷体" w:hAnsi="楷体" w:eastAsia="楷体"/>
          <w:sz w:val="32"/>
          <w:szCs w:val="32"/>
        </w:rPr>
        <w:t>化解行政诉讼促和谐</w:t>
      </w:r>
      <w:r>
        <w:rPr>
          <w:rFonts w:hint="eastAsia" w:ascii="楷体" w:hAnsi="楷体" w:eastAsia="楷体"/>
          <w:sz w:val="32"/>
          <w:szCs w:val="32"/>
        </w:rPr>
        <w:t>。</w:t>
      </w:r>
      <w:r>
        <w:rPr>
          <w:rFonts w:eastAsia="仿宋_GB2312"/>
          <w:sz w:val="32"/>
          <w:szCs w:val="32"/>
        </w:rPr>
        <w:t>强化行政案件调解处置能力，依法落实行政应诉工作，对人民法院受理的行政案件，按时答辩、提交证据材料，积极应诉，辖区</w:t>
      </w:r>
      <w:r>
        <w:rPr>
          <w:rFonts w:hint="eastAsia" w:eastAsia="仿宋_GB2312"/>
          <w:sz w:val="32"/>
          <w:szCs w:val="32"/>
        </w:rPr>
        <w:t>8起行政诉讼案件中，结案的</w:t>
      </w:r>
      <w:r>
        <w:rPr>
          <w:rFonts w:eastAsia="仿宋_GB2312"/>
          <w:sz w:val="32"/>
          <w:szCs w:val="32"/>
        </w:rPr>
        <w:t>7件行政诉讼案件全部“零败诉”，其</w:t>
      </w:r>
      <w:r>
        <w:rPr>
          <w:rFonts w:hint="eastAsia" w:eastAsia="仿宋_GB2312"/>
          <w:sz w:val="32"/>
          <w:szCs w:val="32"/>
        </w:rPr>
        <w:t>中</w:t>
      </w:r>
      <w:r>
        <w:rPr>
          <w:rFonts w:eastAsia="仿宋_GB2312"/>
          <w:sz w:val="32"/>
          <w:szCs w:val="32"/>
        </w:rPr>
        <w:t>胜诉6起，实质性化解1起</w:t>
      </w:r>
      <w:r>
        <w:rPr>
          <w:rFonts w:hint="eastAsia" w:eastAsia="仿宋_GB2312"/>
          <w:sz w:val="32"/>
          <w:szCs w:val="32"/>
        </w:rPr>
        <w:t>，余1起行政案件尚未开庭</w:t>
      </w:r>
      <w:r>
        <w:rPr>
          <w:rFonts w:eastAsia="仿宋_GB2312"/>
          <w:sz w:val="32"/>
          <w:szCs w:val="32"/>
        </w:rPr>
        <w:t>。</w:t>
      </w:r>
    </w:p>
    <w:p w14:paraId="43C719C5">
      <w:pPr>
        <w:widowControl/>
        <w:spacing w:line="560" w:lineRule="exact"/>
        <w:ind w:firstLine="640" w:firstLineChars="200"/>
        <w:rPr>
          <w:rFonts w:eastAsia="仿宋_GB2312"/>
          <w:sz w:val="32"/>
          <w:szCs w:val="32"/>
        </w:rPr>
      </w:pPr>
      <w:r>
        <w:rPr>
          <w:rFonts w:hint="eastAsia" w:ascii="楷体" w:hAnsi="楷体" w:eastAsia="楷体"/>
          <w:sz w:val="32"/>
          <w:szCs w:val="32"/>
        </w:rPr>
        <w:t>五是综合行政执法成果显著。</w:t>
      </w:r>
      <w:r>
        <w:rPr>
          <w:rFonts w:hint="eastAsia" w:eastAsia="仿宋_GB2312"/>
          <w:sz w:val="32"/>
          <w:szCs w:val="32"/>
        </w:rPr>
        <w:t>整合执法职能，优化资源配置，实现行政执法区域全覆盖。全年查纠各类违章2812起，累计罚款金额255.65万元。其中简易程序2543起，一般程序242起。对273起办结案件进行“双公示”，合规率100%，时效率100%，覆盖率100%。向申请人民法院强制执行2件，1件已经完成缴纳罚款，1件尚在办理中。</w:t>
      </w:r>
    </w:p>
    <w:p w14:paraId="09245E79">
      <w:pPr>
        <w:spacing w:line="560" w:lineRule="exact"/>
        <w:ind w:firstLine="640" w:firstLineChars="200"/>
        <w:jc w:val="left"/>
        <w:rPr>
          <w:rFonts w:ascii="黑体" w:hAnsi="黑体" w:eastAsia="黑体"/>
          <w:sz w:val="32"/>
          <w:szCs w:val="32"/>
        </w:rPr>
      </w:pPr>
      <w:r>
        <w:rPr>
          <w:rFonts w:ascii="黑体" w:hAnsi="黑体" w:eastAsia="黑体"/>
          <w:color w:val="333333"/>
          <w:sz w:val="32"/>
          <w:szCs w:val="32"/>
          <w:shd w:val="clear" w:color="auto" w:fill="FFFFFF"/>
        </w:rPr>
        <w:t>三、有效化解社会矛盾纠纷，切实维护群众合法权益</w:t>
      </w:r>
    </w:p>
    <w:p w14:paraId="387D1539">
      <w:pPr>
        <w:spacing w:line="560" w:lineRule="exact"/>
        <w:ind w:firstLine="640" w:firstLineChars="200"/>
        <w:rPr>
          <w:rFonts w:eastAsia="仿宋_GB2312"/>
          <w:sz w:val="32"/>
          <w:szCs w:val="32"/>
        </w:rPr>
      </w:pPr>
      <w:r>
        <w:rPr>
          <w:rFonts w:eastAsia="仿宋_GB2312"/>
          <w:sz w:val="32"/>
          <w:szCs w:val="32"/>
        </w:rPr>
        <w:t>保稳定就是保发展，街道调委会</w:t>
      </w:r>
      <w:r>
        <w:rPr>
          <w:rFonts w:hint="eastAsia" w:eastAsia="仿宋_GB2312"/>
          <w:sz w:val="32"/>
          <w:szCs w:val="32"/>
        </w:rPr>
        <w:t>积极</w:t>
      </w:r>
      <w:r>
        <w:rPr>
          <w:rFonts w:eastAsia="仿宋_GB2312"/>
          <w:sz w:val="32"/>
          <w:szCs w:val="32"/>
        </w:rPr>
        <w:t>开展矛盾纠纷化解工作，全年共调解各类矛盾纠纷1500余起，其中非正常死亡纠纷22起，均涉及辖区企业，有效维护好辖区和谐稳定，切实营造好辖区营商环境。</w:t>
      </w:r>
    </w:p>
    <w:p w14:paraId="326A200C">
      <w:pPr>
        <w:spacing w:line="560" w:lineRule="exact"/>
        <w:ind w:firstLine="640" w:firstLineChars="200"/>
        <w:rPr>
          <w:rFonts w:eastAsia="仿宋_GB2312"/>
          <w:sz w:val="32"/>
          <w:szCs w:val="32"/>
        </w:rPr>
      </w:pPr>
      <w:r>
        <w:rPr>
          <w:rFonts w:ascii="楷体" w:hAnsi="楷体" w:eastAsia="楷体"/>
          <w:sz w:val="32"/>
          <w:szCs w:val="32"/>
        </w:rPr>
        <w:t>一是完善非诉组织架构机制。</w:t>
      </w:r>
      <w:r>
        <w:rPr>
          <w:rFonts w:eastAsia="仿宋_GB2312"/>
          <w:sz w:val="32"/>
          <w:szCs w:val="32"/>
        </w:rPr>
        <w:t>各村（社区）非诉服务站全面铺开，形成完整的非诉服务网络。配齐配强人民调解力量，及时调整街道、村（社区）、驻派出所等调解组织人员，明确专兼职人民调解员，同时积极推进律师参与调解工作。目前街道共有专兼职调解员78名（其中专职调解员22名，兼职调解员56名）。</w:t>
      </w:r>
    </w:p>
    <w:p w14:paraId="5E669F9E">
      <w:pPr>
        <w:spacing w:line="560" w:lineRule="exact"/>
        <w:ind w:firstLine="645"/>
        <w:rPr>
          <w:rFonts w:eastAsia="仿宋_GB2312"/>
          <w:sz w:val="32"/>
          <w:szCs w:val="32"/>
        </w:rPr>
      </w:pPr>
      <w:r>
        <w:rPr>
          <w:rFonts w:ascii="楷体" w:hAnsi="楷体" w:eastAsia="楷体"/>
          <w:sz w:val="32"/>
          <w:szCs w:val="32"/>
        </w:rPr>
        <w:t>二是落实矛盾纠纷排查。</w:t>
      </w:r>
      <w:r>
        <w:rPr>
          <w:rFonts w:eastAsia="仿宋_GB2312"/>
          <w:sz w:val="32"/>
          <w:szCs w:val="32"/>
        </w:rPr>
        <w:t>严格执行街道、村社区矛盾纠纷半月排查制度，在全国两会、国庆等重大节点期间召开涉稳矛盾纠纷排查分析会议，做好重点人员管控，提前做好纠纷化解预案，制作风险防控研判报告63份。</w:t>
      </w:r>
    </w:p>
    <w:p w14:paraId="34882A10">
      <w:pPr>
        <w:spacing w:line="560" w:lineRule="exact"/>
        <w:ind w:firstLine="645"/>
        <w:rPr>
          <w:rFonts w:eastAsia="仿宋_GB2312"/>
          <w:sz w:val="32"/>
          <w:szCs w:val="32"/>
        </w:rPr>
      </w:pPr>
      <w:r>
        <w:rPr>
          <w:rFonts w:ascii="楷体" w:hAnsi="楷体" w:eastAsia="楷体"/>
          <w:sz w:val="32"/>
          <w:szCs w:val="32"/>
        </w:rPr>
        <w:t>三是推进深化“庭所共建”机制。</w:t>
      </w:r>
      <w:r>
        <w:rPr>
          <w:rFonts w:eastAsia="仿宋_GB2312"/>
          <w:sz w:val="32"/>
          <w:szCs w:val="32"/>
        </w:rPr>
        <w:t>与常熟市古里法庭签订庭所共建协议书，建立“共享法庭”5家，邀请古里法庭庭长等来街道开展人民调解员技能培训、“法律明白人”培训、法治进村社区座谈会等主题活动，</w:t>
      </w:r>
      <w:r>
        <w:rPr>
          <w:rFonts w:hint="eastAsia" w:eastAsia="仿宋_GB2312"/>
          <w:sz w:val="32"/>
          <w:szCs w:val="32"/>
        </w:rPr>
        <w:t>并</w:t>
      </w:r>
      <w:r>
        <w:rPr>
          <w:rFonts w:eastAsia="仿宋_GB2312"/>
          <w:sz w:val="32"/>
          <w:szCs w:val="32"/>
        </w:rPr>
        <w:t>通过共享法庭开展视频旁听庭审2次，实现优势互补，形成合力，共同推进地区社会稳定。</w:t>
      </w:r>
    </w:p>
    <w:p w14:paraId="38BE1B01">
      <w:pPr>
        <w:spacing w:line="560" w:lineRule="exact"/>
        <w:ind w:firstLine="640" w:firstLineChars="200"/>
        <w:jc w:val="left"/>
        <w:rPr>
          <w:rFonts w:eastAsia="仿宋_GB2312"/>
          <w:sz w:val="32"/>
          <w:szCs w:val="32"/>
        </w:rPr>
      </w:pPr>
      <w:r>
        <w:rPr>
          <w:rFonts w:ascii="楷体" w:hAnsi="楷体" w:eastAsia="楷体"/>
          <w:sz w:val="32"/>
          <w:szCs w:val="32"/>
        </w:rPr>
        <w:t>四是落实访调对接工作机制</w:t>
      </w:r>
      <w:r>
        <w:rPr>
          <w:rFonts w:hint="eastAsia" w:ascii="楷体" w:hAnsi="楷体" w:eastAsia="楷体"/>
          <w:sz w:val="32"/>
          <w:szCs w:val="32"/>
        </w:rPr>
        <w:t>。</w:t>
      </w:r>
      <w:r>
        <w:rPr>
          <w:rFonts w:eastAsia="仿宋_GB2312"/>
          <w:sz w:val="32"/>
          <w:szCs w:val="32"/>
        </w:rPr>
        <w:t>依托街道矛调中心，整合公共法律服务中心、综治中心及信访服务中心资源，与街道信访办建立访调对接机制，建立“访调对接工作室”，对辖区内群体性纠纷、非正常死亡纠纷进行调解，确保“矛盾不上交、群众零非访”。</w:t>
      </w:r>
    </w:p>
    <w:p w14:paraId="27EED660">
      <w:pPr>
        <w:spacing w:line="560" w:lineRule="exact"/>
        <w:ind w:firstLine="640" w:firstLineChars="200"/>
        <w:jc w:val="left"/>
        <w:rPr>
          <w:rFonts w:eastAsia="仿宋_GB2312"/>
          <w:sz w:val="32"/>
          <w:szCs w:val="32"/>
        </w:rPr>
      </w:pPr>
      <w:r>
        <w:rPr>
          <w:rFonts w:ascii="楷体" w:hAnsi="楷体" w:eastAsia="楷体"/>
          <w:sz w:val="32"/>
          <w:szCs w:val="32"/>
        </w:rPr>
        <w:t>五是创新“公调对接”多元化解机制。</w:t>
      </w:r>
      <w:r>
        <w:rPr>
          <w:rFonts w:hint="eastAsia" w:eastAsia="仿宋_GB2312"/>
          <w:sz w:val="32"/>
          <w:szCs w:val="32"/>
        </w:rPr>
        <w:t>打通</w:t>
      </w:r>
      <w:r>
        <w:rPr>
          <w:rFonts w:eastAsia="仿宋_GB2312"/>
          <w:sz w:val="32"/>
          <w:szCs w:val="32"/>
        </w:rPr>
        <w:t>东南派出所</w:t>
      </w:r>
      <w:r>
        <w:rPr>
          <w:rFonts w:hint="eastAsia" w:eastAsia="仿宋_GB2312"/>
          <w:sz w:val="32"/>
          <w:szCs w:val="32"/>
        </w:rPr>
        <w:t>、各村社区调解渠道，</w:t>
      </w:r>
      <w:r>
        <w:rPr>
          <w:rFonts w:eastAsia="仿宋_GB2312"/>
          <w:sz w:val="32"/>
          <w:szCs w:val="32"/>
        </w:rPr>
        <w:t>建立“1+1+N”工作法(指1名村社区调委会专职调解员、1名派出所村社区民警，N则代表律师、“法律明白人”等调解事项所需的专业人员)</w:t>
      </w:r>
      <w:r>
        <w:rPr>
          <w:rFonts w:hint="eastAsia" w:eastAsia="仿宋_GB2312"/>
          <w:sz w:val="32"/>
          <w:szCs w:val="32"/>
        </w:rPr>
        <w:t>。</w:t>
      </w:r>
      <w:r>
        <w:rPr>
          <w:rFonts w:eastAsia="仿宋_GB2312"/>
          <w:sz w:val="32"/>
          <w:szCs w:val="32"/>
        </w:rPr>
        <w:t>积极发挥派出所化解矛盾纠纷的“前哨”作用，当派出所接收到非警情类矛盾纠纷并无法现场及时化解的，将情况流转给各属地村社区，由相关村社区专职调解员“在后台”跟进。</w:t>
      </w:r>
    </w:p>
    <w:p w14:paraId="0178DA0E">
      <w:pPr>
        <w:tabs>
          <w:tab w:val="left" w:pos="6495"/>
        </w:tabs>
        <w:spacing w:line="560" w:lineRule="exact"/>
        <w:ind w:firstLine="640" w:firstLineChars="200"/>
        <w:rPr>
          <w:rFonts w:ascii="黑体" w:hAnsi="黑体" w:eastAsia="黑体"/>
          <w:sz w:val="32"/>
          <w:szCs w:val="32"/>
        </w:rPr>
      </w:pPr>
      <w:r>
        <w:rPr>
          <w:rFonts w:hint="eastAsia" w:ascii="黑体" w:hAnsi="黑体" w:eastAsia="黑体"/>
          <w:sz w:val="32"/>
          <w:szCs w:val="32"/>
          <w:lang w:val="en-US" w:eastAsia="zh-CN"/>
        </w:rPr>
        <w:t>四</w:t>
      </w:r>
      <w:r>
        <w:rPr>
          <w:rFonts w:ascii="黑体" w:hAnsi="黑体" w:eastAsia="黑体"/>
          <w:sz w:val="32"/>
          <w:szCs w:val="32"/>
        </w:rPr>
        <w:t>、深化法律服务体系建设，落实公众法律服务</w:t>
      </w:r>
      <w:r>
        <w:rPr>
          <w:rFonts w:ascii="黑体" w:hAnsi="黑体" w:eastAsia="黑体"/>
          <w:sz w:val="32"/>
          <w:szCs w:val="32"/>
        </w:rPr>
        <w:tab/>
      </w:r>
    </w:p>
    <w:p w14:paraId="1A13DA0E">
      <w:pPr>
        <w:spacing w:line="560" w:lineRule="exact"/>
        <w:ind w:firstLine="640" w:firstLineChars="200"/>
        <w:rPr>
          <w:rFonts w:eastAsia="仿宋_GB2312"/>
          <w:sz w:val="32"/>
          <w:szCs w:val="32"/>
        </w:rPr>
      </w:pPr>
      <w:r>
        <w:rPr>
          <w:rFonts w:ascii="楷体" w:hAnsi="楷体" w:eastAsia="楷体"/>
          <w:sz w:val="32"/>
          <w:szCs w:val="32"/>
        </w:rPr>
        <w:t>一是深度融合职能对接。</w:t>
      </w:r>
      <w:r>
        <w:rPr>
          <w:rFonts w:eastAsia="仿宋_GB2312"/>
          <w:sz w:val="32"/>
          <w:szCs w:val="32"/>
        </w:rPr>
        <w:t>对原有高新区（东南街道）公共法律服务中心、综治中心、信访服务中心、非诉服务中心等场地进行整合改造，设立社会矛盾纠纷调处化解中心，安排工作人员在服务大厅开展集中办公，为人民群众提供来访接待、法律咨询、矛盾调解等服务，实现“矛盾纠纷一站式化解”。</w:t>
      </w:r>
    </w:p>
    <w:p w14:paraId="56EFB528">
      <w:pPr>
        <w:spacing w:line="560" w:lineRule="exact"/>
        <w:ind w:firstLine="640" w:firstLineChars="200"/>
        <w:rPr>
          <w:rFonts w:eastAsia="仿宋_GB2312"/>
          <w:sz w:val="32"/>
          <w:szCs w:val="32"/>
        </w:rPr>
      </w:pPr>
      <w:r>
        <w:rPr>
          <w:rFonts w:ascii="楷体" w:hAnsi="楷体" w:eastAsia="楷体"/>
          <w:sz w:val="32"/>
          <w:szCs w:val="32"/>
        </w:rPr>
        <w:t>二是落实法律顾问制度。</w:t>
      </w:r>
      <w:r>
        <w:rPr>
          <w:rFonts w:eastAsia="仿宋_GB2312"/>
          <w:sz w:val="32"/>
          <w:szCs w:val="32"/>
        </w:rPr>
        <w:t>统一聘请、统一管理、统一考核街道党工委、办事处、村社区法律顾问。按照街道每日、村（社区）每月8小时要求，在街道矛调中心、村（社区）司法行政服务站驻点值班，今年以来共解答群众法律咨询150余人次，为街道、村社区提供法律意见50余件</w:t>
      </w:r>
      <w:r>
        <w:rPr>
          <w:rFonts w:hint="eastAsia" w:eastAsia="仿宋_GB2312"/>
          <w:sz w:val="32"/>
          <w:szCs w:val="32"/>
        </w:rPr>
        <w:t>，</w:t>
      </w:r>
      <w:r>
        <w:rPr>
          <w:rFonts w:eastAsia="仿宋_GB2312"/>
          <w:sz w:val="32"/>
          <w:szCs w:val="32"/>
        </w:rPr>
        <w:t>协助高新区行政复议、市政府履职申请答复3次。</w:t>
      </w:r>
    </w:p>
    <w:p w14:paraId="0DE08D26">
      <w:pPr>
        <w:spacing w:line="560" w:lineRule="exact"/>
        <w:ind w:firstLine="640" w:firstLineChars="200"/>
        <w:rPr>
          <w:rFonts w:eastAsia="仿宋_GB2312"/>
          <w:sz w:val="32"/>
          <w:szCs w:val="32"/>
        </w:rPr>
      </w:pPr>
      <w:r>
        <w:rPr>
          <w:rFonts w:ascii="楷体" w:hAnsi="楷体" w:eastAsia="楷体"/>
          <w:sz w:val="32"/>
          <w:szCs w:val="32"/>
        </w:rPr>
        <w:t>三是举办“法企同行</w:t>
      </w:r>
      <w:r>
        <w:rPr>
          <w:rFonts w:eastAsia="楷体"/>
          <w:sz w:val="32"/>
          <w:szCs w:val="32"/>
        </w:rPr>
        <w:t>•</w:t>
      </w:r>
      <w:r>
        <w:rPr>
          <w:rFonts w:ascii="楷体" w:hAnsi="楷体" w:eastAsia="楷体"/>
          <w:sz w:val="32"/>
          <w:szCs w:val="32"/>
        </w:rPr>
        <w:t>护航营商”活动。</w:t>
      </w:r>
      <w:r>
        <w:rPr>
          <w:rFonts w:eastAsia="仿宋_GB2312"/>
          <w:sz w:val="32"/>
          <w:szCs w:val="32"/>
        </w:rPr>
        <w:t>今年7月，联合高新区总工会开展企业常见劳动法律问题为主题的法治讲座，邀请江苏少平律师事务所副主任、党支部书记时文杰主讲，高新区40多名重点企业基层工会干部代表参加了此次活动，受到一致好评。</w:t>
      </w:r>
    </w:p>
    <w:p w14:paraId="706D703C">
      <w:pPr>
        <w:spacing w:line="560" w:lineRule="exact"/>
        <w:ind w:firstLine="640" w:firstLineChars="200"/>
        <w:rPr>
          <w:rFonts w:ascii="黑体" w:hAnsi="黑体" w:eastAsia="黑体"/>
          <w:sz w:val="32"/>
          <w:szCs w:val="32"/>
        </w:rPr>
      </w:pPr>
      <w:r>
        <w:rPr>
          <w:rFonts w:ascii="黑体" w:hAnsi="黑体" w:eastAsia="黑体"/>
          <w:sz w:val="32"/>
          <w:szCs w:val="32"/>
        </w:rPr>
        <w:t>五、聚焦法治惠民，筑牢法治建设基础</w:t>
      </w:r>
    </w:p>
    <w:p w14:paraId="29B0A431">
      <w:pPr>
        <w:spacing w:line="560" w:lineRule="exact"/>
        <w:ind w:firstLine="640" w:firstLineChars="200"/>
        <w:rPr>
          <w:rFonts w:eastAsia="仿宋_GB2312"/>
          <w:sz w:val="32"/>
          <w:szCs w:val="32"/>
        </w:rPr>
      </w:pPr>
      <w:r>
        <w:rPr>
          <w:rFonts w:eastAsia="仿宋_GB2312"/>
          <w:sz w:val="32"/>
          <w:szCs w:val="32"/>
        </w:rPr>
        <w:t>坚持把全民普法和守法作为依法治国的长期基础性工作，深入开展</w:t>
      </w:r>
      <w:r>
        <w:rPr>
          <w:rFonts w:hint="eastAsia" w:eastAsia="仿宋_GB2312"/>
          <w:sz w:val="32"/>
          <w:szCs w:val="32"/>
        </w:rPr>
        <w:t>习近平法治思想、</w:t>
      </w:r>
      <w:r>
        <w:rPr>
          <w:rFonts w:eastAsia="仿宋_GB2312"/>
          <w:sz w:val="32"/>
          <w:szCs w:val="32"/>
        </w:rPr>
        <w:t>宪法</w:t>
      </w:r>
      <w:r>
        <w:rPr>
          <w:rFonts w:hint="eastAsia" w:eastAsia="仿宋_GB2312"/>
          <w:sz w:val="32"/>
          <w:szCs w:val="32"/>
        </w:rPr>
        <w:t>、民法典等内容的</w:t>
      </w:r>
      <w:r>
        <w:rPr>
          <w:rFonts w:eastAsia="仿宋_GB2312"/>
          <w:sz w:val="32"/>
          <w:szCs w:val="32"/>
        </w:rPr>
        <w:t>学习宣传，大力推进“八五”普法工作，全面落实“谁执法谁普法”普法责任制，组织开展法治宣传教育主题实践活动，实现全民法治宣传教育常态化。</w:t>
      </w:r>
    </w:p>
    <w:p w14:paraId="3C7F85DC">
      <w:pPr>
        <w:spacing w:line="560" w:lineRule="exact"/>
        <w:ind w:firstLine="640" w:firstLineChars="200"/>
        <w:rPr>
          <w:rFonts w:eastAsia="仿宋_GB2312"/>
          <w:sz w:val="32"/>
          <w:szCs w:val="32"/>
        </w:rPr>
      </w:pPr>
      <w:r>
        <w:rPr>
          <w:rFonts w:ascii="楷体" w:hAnsi="楷体" w:eastAsia="楷体"/>
          <w:sz w:val="32"/>
          <w:szCs w:val="32"/>
        </w:rPr>
        <w:t>一是普法阵地建设持续完善。</w:t>
      </w:r>
      <w:r>
        <w:rPr>
          <w:rFonts w:eastAsia="仿宋_GB2312"/>
          <w:sz w:val="32"/>
          <w:szCs w:val="32"/>
        </w:rPr>
        <w:t>对原有宪法廉政文化园、金仓法治公园等普法阵地进行修缮，内容进行调整，在小康村打造习近平法治思想集中宣传阵地，启文社区世纪华庭小区新建普法主题阵地1处，将法治宣传工作不断融入居民百姓日常生活中。</w:t>
      </w:r>
    </w:p>
    <w:p w14:paraId="34D7FC32">
      <w:pPr>
        <w:spacing w:line="560" w:lineRule="exact"/>
        <w:ind w:firstLine="640" w:firstLineChars="200"/>
        <w:rPr>
          <w:rFonts w:eastAsia="仿宋_GB2312"/>
          <w:sz w:val="32"/>
          <w:szCs w:val="32"/>
        </w:rPr>
      </w:pPr>
      <w:r>
        <w:rPr>
          <w:rFonts w:ascii="楷体" w:hAnsi="楷体" w:eastAsia="楷体"/>
          <w:sz w:val="32"/>
          <w:szCs w:val="32"/>
        </w:rPr>
        <w:t>二是日常普法教育持续开展。</w:t>
      </w:r>
      <w:r>
        <w:rPr>
          <w:rFonts w:eastAsia="仿宋_GB2312"/>
          <w:sz w:val="32"/>
          <w:szCs w:val="32"/>
        </w:rPr>
        <w:t>结合春风行动、学雷锋月、4·8司法日、12·4宪法日等开展各类集中普法活动，先后走进小康村商业街、青墩塘高架项目工地、金仓集贸市场等地等地开展集中普法活动，组织东南消防中队、街道机关工作人员、企业高管等开展习近平法治思想、“企业法律风险防范</w:t>
      </w:r>
      <w:r>
        <w:rPr>
          <w:rFonts w:hint="eastAsia" w:eastAsia="仿宋_GB2312"/>
          <w:sz w:val="32"/>
          <w:szCs w:val="32"/>
        </w:rPr>
        <w:t>与</w:t>
      </w:r>
      <w:r>
        <w:rPr>
          <w:rFonts w:eastAsia="仿宋_GB2312"/>
          <w:sz w:val="32"/>
          <w:szCs w:val="32"/>
        </w:rPr>
        <w:t>合同合规管理”、“基层政府常见行政纠纷实务”、“行政规范性文件”等主题法治培训，承办常熟市</w:t>
      </w:r>
      <w:bookmarkStart w:id="0" w:name="_GoBack"/>
      <w:bookmarkEnd w:id="0"/>
      <w:r>
        <w:rPr>
          <w:rFonts w:eastAsia="仿宋_GB2312"/>
          <w:sz w:val="32"/>
          <w:szCs w:val="32"/>
        </w:rPr>
        <w:t>《</w:t>
      </w:r>
      <w:r>
        <w:rPr>
          <w:rFonts w:hint="eastAsia" w:eastAsia="仿宋_GB2312"/>
          <w:sz w:val="32"/>
          <w:szCs w:val="32"/>
          <w:lang w:eastAsia="zh-CN"/>
        </w:rPr>
        <w:t>中华人民共和国</w:t>
      </w:r>
      <w:r>
        <w:rPr>
          <w:rFonts w:eastAsia="仿宋_GB2312"/>
          <w:sz w:val="32"/>
          <w:szCs w:val="32"/>
        </w:rPr>
        <w:t>民法典》宣传月启动仪式，完成“八五”普法市级中期检查工作。</w:t>
      </w:r>
    </w:p>
    <w:p w14:paraId="37430A81">
      <w:pPr>
        <w:spacing w:line="560" w:lineRule="exact"/>
        <w:ind w:firstLine="640" w:firstLineChars="200"/>
        <w:jc w:val="left"/>
        <w:rPr>
          <w:rFonts w:eastAsia="仿宋_GB2312"/>
          <w:sz w:val="32"/>
          <w:szCs w:val="32"/>
        </w:rPr>
      </w:pPr>
      <w:r>
        <w:rPr>
          <w:rFonts w:ascii="楷体" w:hAnsi="楷体" w:eastAsia="楷体"/>
          <w:sz w:val="32"/>
          <w:szCs w:val="32"/>
        </w:rPr>
        <w:t>三是“虞城无诈”宣传持续推进。</w:t>
      </w:r>
      <w:r>
        <w:rPr>
          <w:rFonts w:eastAsia="仿宋_GB2312"/>
          <w:sz w:val="32"/>
          <w:szCs w:val="32"/>
        </w:rPr>
        <w:t>开展“虞城无诈”主题宣传活动50余次，制作反诈横幅20余条、展板55套、重点企业楼道宣传海报90张、宣传折页18万余份、答题推广胸牌300余块、反诈横幅80条、反诈贴纸等其他宣传物料若干</w:t>
      </w:r>
      <w:r>
        <w:rPr>
          <w:rFonts w:hint="eastAsia" w:eastAsia="仿宋_GB2312"/>
          <w:sz w:val="32"/>
          <w:szCs w:val="32"/>
        </w:rPr>
        <w:t>用于日常宣传</w:t>
      </w:r>
      <w:r>
        <w:rPr>
          <w:rFonts w:eastAsia="仿宋_GB2312"/>
          <w:sz w:val="32"/>
          <w:szCs w:val="32"/>
        </w:rPr>
        <w:t>，拍摄反诈宣传视频6部，发送反诈短信100万条，全力压降辖区电信网络诈骗案件数。</w:t>
      </w:r>
    </w:p>
    <w:p w14:paraId="25583D2D">
      <w:pPr>
        <w:spacing w:line="560" w:lineRule="exact"/>
        <w:ind w:firstLine="640" w:firstLineChars="200"/>
        <w:jc w:val="left"/>
        <w:rPr>
          <w:rFonts w:eastAsia="仿宋_GB2312"/>
          <w:sz w:val="32"/>
          <w:szCs w:val="32"/>
        </w:rPr>
      </w:pPr>
      <w:r>
        <w:rPr>
          <w:rFonts w:ascii="楷体" w:hAnsi="楷体" w:eastAsia="楷体"/>
          <w:sz w:val="32"/>
          <w:szCs w:val="32"/>
        </w:rPr>
        <w:t>四是法治乡村建设持续强化。</w:t>
      </w:r>
      <w:r>
        <w:rPr>
          <w:rFonts w:eastAsia="仿宋_GB2312"/>
          <w:sz w:val="32"/>
          <w:szCs w:val="32"/>
        </w:rPr>
        <w:t>结合辖区网格调整，新培育“法律明白人”33名，确保每个网格有2名“法律明白人”，组织“法律明白人”集中培训2次，辖区选派的东湖社区“法律明白人”代表队</w:t>
      </w:r>
      <w:r>
        <w:rPr>
          <w:rFonts w:hint="eastAsia" w:eastAsia="仿宋_GB2312"/>
          <w:sz w:val="32"/>
          <w:szCs w:val="32"/>
        </w:rPr>
        <w:t>获得</w:t>
      </w:r>
      <w:r>
        <w:rPr>
          <w:rFonts w:eastAsia="仿宋_GB2312"/>
          <w:sz w:val="32"/>
          <w:szCs w:val="32"/>
        </w:rPr>
        <w:t>全市“法律明白人”村村挑战赛二等奖。顺利通过省级民主法治示范村（社区）复核，目前辖区9个村（社区）中，已有8个被评为江苏省省级民主法治示范村（社区）。完成25名人民陪审员推荐选任工作，反馈征求意见15件。</w:t>
      </w:r>
    </w:p>
    <w:p w14:paraId="57BFC4EA">
      <w:pPr>
        <w:spacing w:line="560" w:lineRule="exact"/>
        <w:ind w:firstLine="640" w:firstLineChars="200"/>
        <w:rPr>
          <w:rFonts w:eastAsia="仿宋_GB2312"/>
          <w:sz w:val="32"/>
          <w:szCs w:val="32"/>
        </w:rPr>
      </w:pPr>
      <w:r>
        <w:rPr>
          <w:rFonts w:hint="eastAsia" w:ascii="仿宋_GB2312" w:hAnsi="仿宋" w:eastAsia="仿宋_GB2312"/>
          <w:sz w:val="32"/>
          <w:szCs w:val="32"/>
        </w:rPr>
        <w:t>踌躇满志再出发，栉风沐雨破浪行。2024年，东南街道将一如既往重视法治政府建设，认真贯彻党的二十大和习近平总书记关于法治政府建设的重要指示精神，进一步压实主体责任、进一步提升行政水平、进一步探究“未病治疗”、进一步强化执法监督，确保法治政府建设各项目标任务顺利有序推进，切实以法治政府建设推进民生建设、促进民心改善、保障民生福祉，保障社会经济高质量发展。</w:t>
      </w:r>
    </w:p>
    <w:p w14:paraId="1A37ABAA">
      <w:pPr>
        <w:spacing w:line="560" w:lineRule="exact"/>
        <w:rPr>
          <w:rFonts w:ascii="仿宋_GB2312" w:hAnsi="仿宋_GB2312" w:eastAsia="仿宋_GB2312" w:cs="仿宋_GB2312"/>
          <w:sz w:val="32"/>
          <w:szCs w:val="32"/>
        </w:rPr>
      </w:pPr>
    </w:p>
    <w:p w14:paraId="0DBEC342">
      <w:pPr>
        <w:pStyle w:val="2"/>
      </w:pPr>
    </w:p>
    <w:p w14:paraId="58FA4132">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常熟市人民政府东南街道办事处</w:t>
      </w:r>
    </w:p>
    <w:p w14:paraId="1878BF08">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2024年3月29日</w:t>
      </w:r>
    </w:p>
    <w:sectPr>
      <w:footerReference r:id="rId3" w:type="default"/>
      <w:pgSz w:w="11906" w:h="16838"/>
      <w:pgMar w:top="2155" w:right="1531" w:bottom="2155" w:left="1531" w:header="851" w:footer="992"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altName w:val="Webdings"/>
    <w:panose1 w:val="05050102010706020507"/>
    <w:charset w:val="02"/>
    <w:family w:val="roman"/>
    <w:pitch w:val="default"/>
    <w:sig w:usb0="00000000" w:usb1="00000000" w:usb2="00000000" w:usb3="00000000" w:csb0="80000000" w:csb1="00000000"/>
  </w:font>
  <w:font w:name="Calibri">
    <w:altName w:val="Trebuchet MS"/>
    <w:panose1 w:val="020F0502020204030204"/>
    <w:charset w:val="00"/>
    <w:family w:val="swiss"/>
    <w:pitch w:val="default"/>
    <w:sig w:usb0="00000000" w:usb1="00000000" w:usb2="00000001" w:usb3="00000000" w:csb0="0000019F" w:csb1="00000000"/>
  </w:font>
  <w:font w:name="Trebuchet MS">
    <w:panose1 w:val="020B0603020202020204"/>
    <w:charset w:val="00"/>
    <w:family w:val="auto"/>
    <w:pitch w:val="default"/>
    <w:sig w:usb0="00000287" w:usb1="00000000" w:usb2="00000000" w:usb3="00000000" w:csb0="200000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F3830">
    <w:pPr>
      <w:pStyle w:val="2"/>
      <w:jc w:val="cente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55755B2">
                          <w:pPr>
                            <w:pStyle w:val="2"/>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- 5 -</w:t>
                          </w:r>
                          <w:r>
                            <w:rPr>
                              <w:rFonts w:hint="eastAsia" w:ascii="宋体" w:hAnsi="宋体" w:cs="宋体"/>
                              <w:sz w:val="28"/>
                              <w:szCs w:val="28"/>
                            </w:rPr>
                            <w:fldChar w:fldCharType="end"/>
                          </w:r>
                        </w:p>
                      </w:txbxContent>
                    </wps:txbx>
                    <wps:bodyPr wrap="none" lIns="0" tIns="0" rIns="0" bIns="0">
                      <a:spAutoFit/>
                    </wps:bodyPr>
                  </wps:wsp>
                </a:graphicData>
              </a:graphic>
            </wp:anchor>
          </w:drawing>
        </mc:Choice>
        <mc:Fallback>
          <w:pict>
            <v:shape id="文本框 7"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OqXm5zwAAAAUBAAAPAAAAAAAAAAEAIAAAACIAAABkcnMvZG93bnJldi54bWxQSwECFAAU&#10;AAAACACHTuJAfUtAhMEBAACNAwAADgAAAAAAAAABACAAAAAeAQAAZHJzL2Uyb0RvYy54bWxQSwUG&#10;AAAAAAYABgBZAQAAUQUAAAAA&#10;">
              <v:fill on="f" focussize="0,0"/>
              <v:stroke on="f"/>
              <v:imagedata o:title=""/>
              <o:lock v:ext="edit" aspectratio="f"/>
              <v:textbox inset="0mm,0mm,0mm,0mm" style="mso-fit-shape-to-text:t;">
                <w:txbxContent>
                  <w:p w14:paraId="255755B2">
                    <w:pPr>
                      <w:pStyle w:val="2"/>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- 5 -</w:t>
                    </w:r>
                    <w:r>
                      <w:rPr>
                        <w:rFonts w:hint="eastAsia" w:ascii="宋体" w:hAnsi="宋体" w:cs="宋体"/>
                        <w:sz w:val="28"/>
                        <w:szCs w:val="28"/>
                      </w:rPr>
                      <w:fldChar w:fldCharType="end"/>
                    </w:r>
                  </w:p>
                </w:txbxContent>
              </v:textbox>
            </v:shape>
          </w:pict>
        </mc:Fallback>
      </mc:AlternateContent>
    </w:r>
  </w:p>
  <w:p w14:paraId="1D6E62A3">
    <w:pPr>
      <w:pStyle w:val="2"/>
      <w:tabs>
        <w:tab w:val="center" w:pos="4310"/>
        <w:tab w:val="right" w:pos="8620"/>
        <w:tab w:val="clear" w:pos="4153"/>
        <w:tab w:val="clear" w:pos="8306"/>
      </w:tabs>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RjM2QwZDUxZDY2NDRiNWZkMjZlMTg5MTU5MmRlNTkifQ=="/>
  </w:docVars>
  <w:rsids>
    <w:rsidRoot w:val="00322BDB"/>
    <w:rsid w:val="00011B0E"/>
    <w:rsid w:val="00013672"/>
    <w:rsid w:val="00034653"/>
    <w:rsid w:val="00040D44"/>
    <w:rsid w:val="00044179"/>
    <w:rsid w:val="000479CC"/>
    <w:rsid w:val="00060BAD"/>
    <w:rsid w:val="000719E7"/>
    <w:rsid w:val="00096D59"/>
    <w:rsid w:val="000B4B6B"/>
    <w:rsid w:val="000B5A50"/>
    <w:rsid w:val="000C75C6"/>
    <w:rsid w:val="000E37B8"/>
    <w:rsid w:val="00104602"/>
    <w:rsid w:val="00115E14"/>
    <w:rsid w:val="00120B15"/>
    <w:rsid w:val="001321B6"/>
    <w:rsid w:val="00140298"/>
    <w:rsid w:val="00147584"/>
    <w:rsid w:val="00150BE1"/>
    <w:rsid w:val="00153523"/>
    <w:rsid w:val="0016339B"/>
    <w:rsid w:val="0019356F"/>
    <w:rsid w:val="0019525D"/>
    <w:rsid w:val="001B6441"/>
    <w:rsid w:val="001C20DD"/>
    <w:rsid w:val="001D50B4"/>
    <w:rsid w:val="001D5B47"/>
    <w:rsid w:val="001D6BB5"/>
    <w:rsid w:val="00213FB6"/>
    <w:rsid w:val="0022741E"/>
    <w:rsid w:val="00234DFD"/>
    <w:rsid w:val="0026273D"/>
    <w:rsid w:val="00274CD1"/>
    <w:rsid w:val="002D2EE8"/>
    <w:rsid w:val="002E23A4"/>
    <w:rsid w:val="002E3A18"/>
    <w:rsid w:val="002F7323"/>
    <w:rsid w:val="00301590"/>
    <w:rsid w:val="00310497"/>
    <w:rsid w:val="00322BDB"/>
    <w:rsid w:val="00326DC6"/>
    <w:rsid w:val="003337EE"/>
    <w:rsid w:val="0033572E"/>
    <w:rsid w:val="0036643C"/>
    <w:rsid w:val="00366DDE"/>
    <w:rsid w:val="00367F5E"/>
    <w:rsid w:val="00374AC2"/>
    <w:rsid w:val="00381D20"/>
    <w:rsid w:val="0038228A"/>
    <w:rsid w:val="00394C63"/>
    <w:rsid w:val="00394E7F"/>
    <w:rsid w:val="003A28D8"/>
    <w:rsid w:val="003A2FE1"/>
    <w:rsid w:val="003D4F64"/>
    <w:rsid w:val="00431939"/>
    <w:rsid w:val="00433A69"/>
    <w:rsid w:val="004659C9"/>
    <w:rsid w:val="004674A6"/>
    <w:rsid w:val="00475A3A"/>
    <w:rsid w:val="0049488E"/>
    <w:rsid w:val="004C0332"/>
    <w:rsid w:val="004C7BA5"/>
    <w:rsid w:val="005134D1"/>
    <w:rsid w:val="00514AE4"/>
    <w:rsid w:val="00527B99"/>
    <w:rsid w:val="00533307"/>
    <w:rsid w:val="005445EF"/>
    <w:rsid w:val="00555AD9"/>
    <w:rsid w:val="005674CB"/>
    <w:rsid w:val="00575B84"/>
    <w:rsid w:val="0058385C"/>
    <w:rsid w:val="005A2DB1"/>
    <w:rsid w:val="005B338B"/>
    <w:rsid w:val="005C6B82"/>
    <w:rsid w:val="005C7B5F"/>
    <w:rsid w:val="005C7B8F"/>
    <w:rsid w:val="005D2EA0"/>
    <w:rsid w:val="005D49C8"/>
    <w:rsid w:val="005E75D9"/>
    <w:rsid w:val="006317B1"/>
    <w:rsid w:val="00640463"/>
    <w:rsid w:val="00641379"/>
    <w:rsid w:val="006552CC"/>
    <w:rsid w:val="0065620B"/>
    <w:rsid w:val="00685F95"/>
    <w:rsid w:val="006A6167"/>
    <w:rsid w:val="006B3E9D"/>
    <w:rsid w:val="006E0BE7"/>
    <w:rsid w:val="006F7706"/>
    <w:rsid w:val="00711823"/>
    <w:rsid w:val="00722A7A"/>
    <w:rsid w:val="00734C26"/>
    <w:rsid w:val="0074135A"/>
    <w:rsid w:val="00745316"/>
    <w:rsid w:val="0075291F"/>
    <w:rsid w:val="007579A4"/>
    <w:rsid w:val="0078454F"/>
    <w:rsid w:val="00792161"/>
    <w:rsid w:val="00794215"/>
    <w:rsid w:val="007B7E62"/>
    <w:rsid w:val="007F4D6C"/>
    <w:rsid w:val="007F4FE8"/>
    <w:rsid w:val="00806C6F"/>
    <w:rsid w:val="00811357"/>
    <w:rsid w:val="00813B76"/>
    <w:rsid w:val="00826452"/>
    <w:rsid w:val="008318F9"/>
    <w:rsid w:val="008369FA"/>
    <w:rsid w:val="0084268A"/>
    <w:rsid w:val="00860A4C"/>
    <w:rsid w:val="00881A3E"/>
    <w:rsid w:val="00884D22"/>
    <w:rsid w:val="0088623A"/>
    <w:rsid w:val="00893BBF"/>
    <w:rsid w:val="008C7EDB"/>
    <w:rsid w:val="008F2C95"/>
    <w:rsid w:val="00901310"/>
    <w:rsid w:val="00905795"/>
    <w:rsid w:val="0094135F"/>
    <w:rsid w:val="009570F3"/>
    <w:rsid w:val="009631F9"/>
    <w:rsid w:val="00974C9A"/>
    <w:rsid w:val="009771DA"/>
    <w:rsid w:val="00994319"/>
    <w:rsid w:val="00997954"/>
    <w:rsid w:val="009B6882"/>
    <w:rsid w:val="00A0426F"/>
    <w:rsid w:val="00A124F6"/>
    <w:rsid w:val="00A14F4F"/>
    <w:rsid w:val="00A21AB6"/>
    <w:rsid w:val="00A3210F"/>
    <w:rsid w:val="00A434CB"/>
    <w:rsid w:val="00A648D6"/>
    <w:rsid w:val="00A75866"/>
    <w:rsid w:val="00A773B4"/>
    <w:rsid w:val="00A775E7"/>
    <w:rsid w:val="00A81400"/>
    <w:rsid w:val="00A824A5"/>
    <w:rsid w:val="00A83634"/>
    <w:rsid w:val="00A84B9A"/>
    <w:rsid w:val="00A85C3C"/>
    <w:rsid w:val="00A93727"/>
    <w:rsid w:val="00AA3F92"/>
    <w:rsid w:val="00AA4FAA"/>
    <w:rsid w:val="00AC544B"/>
    <w:rsid w:val="00AF5C32"/>
    <w:rsid w:val="00B0231D"/>
    <w:rsid w:val="00B138B1"/>
    <w:rsid w:val="00B25E69"/>
    <w:rsid w:val="00B4145A"/>
    <w:rsid w:val="00B96141"/>
    <w:rsid w:val="00BA1863"/>
    <w:rsid w:val="00BA1E68"/>
    <w:rsid w:val="00BA55F6"/>
    <w:rsid w:val="00BB7A27"/>
    <w:rsid w:val="00BC0BD3"/>
    <w:rsid w:val="00BC0ECA"/>
    <w:rsid w:val="00BE3430"/>
    <w:rsid w:val="00BE6B06"/>
    <w:rsid w:val="00C00DB2"/>
    <w:rsid w:val="00C17199"/>
    <w:rsid w:val="00C252F4"/>
    <w:rsid w:val="00C5588E"/>
    <w:rsid w:val="00C6740B"/>
    <w:rsid w:val="00C74DE3"/>
    <w:rsid w:val="00C87E0A"/>
    <w:rsid w:val="00CC346D"/>
    <w:rsid w:val="00D03E79"/>
    <w:rsid w:val="00D2697D"/>
    <w:rsid w:val="00D42895"/>
    <w:rsid w:val="00D47AF6"/>
    <w:rsid w:val="00D649CA"/>
    <w:rsid w:val="00D662BA"/>
    <w:rsid w:val="00DA6AA2"/>
    <w:rsid w:val="00DB2FD1"/>
    <w:rsid w:val="00DB7DA3"/>
    <w:rsid w:val="00DD2B3A"/>
    <w:rsid w:val="00E01865"/>
    <w:rsid w:val="00E20F68"/>
    <w:rsid w:val="00E42F4E"/>
    <w:rsid w:val="00E56760"/>
    <w:rsid w:val="00E83046"/>
    <w:rsid w:val="00EA1835"/>
    <w:rsid w:val="00EB5164"/>
    <w:rsid w:val="00EB54FB"/>
    <w:rsid w:val="00F031B3"/>
    <w:rsid w:val="00F04020"/>
    <w:rsid w:val="00F05D79"/>
    <w:rsid w:val="00F05ECE"/>
    <w:rsid w:val="00F14154"/>
    <w:rsid w:val="00F177B2"/>
    <w:rsid w:val="00F17C64"/>
    <w:rsid w:val="00F2447A"/>
    <w:rsid w:val="00F95ED1"/>
    <w:rsid w:val="00FA6AE7"/>
    <w:rsid w:val="00FF2CD7"/>
    <w:rsid w:val="013F4F42"/>
    <w:rsid w:val="025541CE"/>
    <w:rsid w:val="043C74A6"/>
    <w:rsid w:val="05D5727D"/>
    <w:rsid w:val="05FC28CC"/>
    <w:rsid w:val="06B80095"/>
    <w:rsid w:val="07ED285A"/>
    <w:rsid w:val="089E2538"/>
    <w:rsid w:val="09FC615D"/>
    <w:rsid w:val="0A1542D5"/>
    <w:rsid w:val="0A977A12"/>
    <w:rsid w:val="0C611FB3"/>
    <w:rsid w:val="0CBA0567"/>
    <w:rsid w:val="0CBA5048"/>
    <w:rsid w:val="0D6A6F83"/>
    <w:rsid w:val="0DB16FE2"/>
    <w:rsid w:val="0F61365E"/>
    <w:rsid w:val="11A70537"/>
    <w:rsid w:val="121C6131"/>
    <w:rsid w:val="12237E06"/>
    <w:rsid w:val="12EE257E"/>
    <w:rsid w:val="135C1CDB"/>
    <w:rsid w:val="1479458C"/>
    <w:rsid w:val="155D74A7"/>
    <w:rsid w:val="162E5E00"/>
    <w:rsid w:val="164976AB"/>
    <w:rsid w:val="18271F2A"/>
    <w:rsid w:val="1842500B"/>
    <w:rsid w:val="18842889"/>
    <w:rsid w:val="1B485C48"/>
    <w:rsid w:val="1B5E7162"/>
    <w:rsid w:val="1F052A24"/>
    <w:rsid w:val="1F233F5E"/>
    <w:rsid w:val="1FFF34F9"/>
    <w:rsid w:val="20510375"/>
    <w:rsid w:val="20726FE1"/>
    <w:rsid w:val="20BC7FE0"/>
    <w:rsid w:val="20E577A4"/>
    <w:rsid w:val="213320CF"/>
    <w:rsid w:val="22E94CCC"/>
    <w:rsid w:val="23D172A4"/>
    <w:rsid w:val="23DF3620"/>
    <w:rsid w:val="248234CD"/>
    <w:rsid w:val="260825E3"/>
    <w:rsid w:val="28072F22"/>
    <w:rsid w:val="29052C2B"/>
    <w:rsid w:val="2A95680F"/>
    <w:rsid w:val="2B642FB0"/>
    <w:rsid w:val="2E0B15A9"/>
    <w:rsid w:val="2E6054F4"/>
    <w:rsid w:val="2F096EA9"/>
    <w:rsid w:val="2FA532D4"/>
    <w:rsid w:val="30EE1C08"/>
    <w:rsid w:val="31584907"/>
    <w:rsid w:val="317B28A2"/>
    <w:rsid w:val="32AE254D"/>
    <w:rsid w:val="332349C8"/>
    <w:rsid w:val="36D41EC0"/>
    <w:rsid w:val="37DF0CF9"/>
    <w:rsid w:val="38A65312"/>
    <w:rsid w:val="3A255BB6"/>
    <w:rsid w:val="3A54638F"/>
    <w:rsid w:val="3E634A32"/>
    <w:rsid w:val="43EB3DA7"/>
    <w:rsid w:val="48C27E60"/>
    <w:rsid w:val="49E84269"/>
    <w:rsid w:val="4AA41EB4"/>
    <w:rsid w:val="4BFD4D8D"/>
    <w:rsid w:val="4C0D22EF"/>
    <w:rsid w:val="4D11238B"/>
    <w:rsid w:val="4DF20A61"/>
    <w:rsid w:val="504C739E"/>
    <w:rsid w:val="509B4BE8"/>
    <w:rsid w:val="51C06155"/>
    <w:rsid w:val="54E555E9"/>
    <w:rsid w:val="55854615"/>
    <w:rsid w:val="564E2584"/>
    <w:rsid w:val="57223929"/>
    <w:rsid w:val="57E3783D"/>
    <w:rsid w:val="57E81E44"/>
    <w:rsid w:val="587460B6"/>
    <w:rsid w:val="58E559C0"/>
    <w:rsid w:val="59C35214"/>
    <w:rsid w:val="5A4631C5"/>
    <w:rsid w:val="5A914C33"/>
    <w:rsid w:val="5B7D061A"/>
    <w:rsid w:val="5DA43125"/>
    <w:rsid w:val="5DF867D0"/>
    <w:rsid w:val="5F8976C6"/>
    <w:rsid w:val="5FD65A4C"/>
    <w:rsid w:val="60A934FD"/>
    <w:rsid w:val="622D077D"/>
    <w:rsid w:val="625C65F1"/>
    <w:rsid w:val="633B7919"/>
    <w:rsid w:val="64002891"/>
    <w:rsid w:val="66671FA9"/>
    <w:rsid w:val="67F2059C"/>
    <w:rsid w:val="6951745F"/>
    <w:rsid w:val="6A1E4767"/>
    <w:rsid w:val="6B7933D8"/>
    <w:rsid w:val="6B8B6BC9"/>
    <w:rsid w:val="6C094588"/>
    <w:rsid w:val="6C6972D4"/>
    <w:rsid w:val="6CCA2C54"/>
    <w:rsid w:val="6F355CCA"/>
    <w:rsid w:val="6FED90F5"/>
    <w:rsid w:val="70447695"/>
    <w:rsid w:val="71834270"/>
    <w:rsid w:val="73966C01"/>
    <w:rsid w:val="75725239"/>
    <w:rsid w:val="75842363"/>
    <w:rsid w:val="760F280F"/>
    <w:rsid w:val="79076AF4"/>
    <w:rsid w:val="7A92680F"/>
    <w:rsid w:val="7D230864"/>
    <w:rsid w:val="7DF401A3"/>
    <w:rsid w:val="7E622764"/>
    <w:rsid w:val="7F3D58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next w:val="1"/>
    <w:link w:val="12"/>
    <w:autoRedefine/>
    <w:qFormat/>
    <w:uiPriority w:val="99"/>
    <w:pPr>
      <w:tabs>
        <w:tab w:val="center" w:pos="4153"/>
        <w:tab w:val="right" w:pos="8306"/>
      </w:tabs>
      <w:snapToGrid w:val="0"/>
      <w:jc w:val="left"/>
    </w:pPr>
    <w:rPr>
      <w:sz w:val="18"/>
      <w:szCs w:val="18"/>
    </w:rPr>
  </w:style>
  <w:style w:type="paragraph" w:styleId="3">
    <w:name w:val="Body Text"/>
    <w:basedOn w:val="1"/>
    <w:link w:val="16"/>
    <w:autoRedefine/>
    <w:qFormat/>
    <w:uiPriority w:val="0"/>
    <w:pPr>
      <w:jc w:val="center"/>
    </w:pPr>
    <w:rPr>
      <w:sz w:val="44"/>
    </w:rPr>
  </w:style>
  <w:style w:type="paragraph" w:styleId="4">
    <w:name w:val="Date"/>
    <w:basedOn w:val="1"/>
    <w:next w:val="1"/>
    <w:link w:val="18"/>
    <w:autoRedefine/>
    <w:qFormat/>
    <w:uiPriority w:val="0"/>
    <w:pPr>
      <w:ind w:left="100" w:leftChars="2500"/>
    </w:pPr>
  </w:style>
  <w:style w:type="paragraph" w:styleId="5">
    <w:name w:val="Balloon Text"/>
    <w:basedOn w:val="1"/>
    <w:link w:val="15"/>
    <w:autoRedefine/>
    <w:qFormat/>
    <w:uiPriority w:val="0"/>
    <w:rPr>
      <w:sz w:val="18"/>
      <w:szCs w:val="18"/>
    </w:rPr>
  </w:style>
  <w:style w:type="paragraph" w:styleId="6">
    <w:name w:val="header"/>
    <w:basedOn w:val="1"/>
    <w:link w:val="17"/>
    <w:autoRedefine/>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autoRedefine/>
    <w:qFormat/>
    <w:uiPriority w:val="99"/>
    <w:pPr>
      <w:widowControl/>
      <w:spacing w:before="100" w:beforeAutospacing="1" w:after="100" w:afterAutospacing="1"/>
      <w:jc w:val="left"/>
    </w:pPr>
    <w:rPr>
      <w:rFonts w:ascii="宋体" w:hAnsi="宋体" w:cs="宋体"/>
      <w:kern w:val="0"/>
      <w:sz w:val="24"/>
    </w:rPr>
  </w:style>
  <w:style w:type="table" w:styleId="9">
    <w:name w:val="Table Grid"/>
    <w:basedOn w:val="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basedOn w:val="10"/>
    <w:autoRedefine/>
    <w:qFormat/>
    <w:uiPriority w:val="0"/>
  </w:style>
  <w:style w:type="character" w:customStyle="1" w:styleId="12">
    <w:name w:val="页脚 字符"/>
    <w:basedOn w:val="10"/>
    <w:link w:val="2"/>
    <w:autoRedefine/>
    <w:qFormat/>
    <w:uiPriority w:val="99"/>
    <w:rPr>
      <w:kern w:val="2"/>
      <w:sz w:val="18"/>
      <w:szCs w:val="18"/>
    </w:rPr>
  </w:style>
  <w:style w:type="character" w:customStyle="1" w:styleId="13">
    <w:name w:val="无间隔 字符"/>
    <w:basedOn w:val="10"/>
    <w:link w:val="14"/>
    <w:autoRedefine/>
    <w:qFormat/>
    <w:uiPriority w:val="1"/>
    <w:rPr>
      <w:rFonts w:ascii="Calibri" w:hAnsi="Calibri"/>
      <w:sz w:val="22"/>
      <w:szCs w:val="22"/>
      <w:lang w:val="en-US" w:eastAsia="zh-CN" w:bidi="ar-SA"/>
    </w:rPr>
  </w:style>
  <w:style w:type="paragraph" w:styleId="14">
    <w:name w:val="No Spacing"/>
    <w:link w:val="13"/>
    <w:autoRedefine/>
    <w:qFormat/>
    <w:uiPriority w:val="1"/>
    <w:rPr>
      <w:rFonts w:ascii="Calibri" w:hAnsi="Calibri" w:eastAsia="宋体" w:cs="Times New Roman"/>
      <w:sz w:val="22"/>
      <w:szCs w:val="22"/>
      <w:lang w:val="en-US" w:eastAsia="zh-CN" w:bidi="ar-SA"/>
    </w:rPr>
  </w:style>
  <w:style w:type="character" w:customStyle="1" w:styleId="15">
    <w:name w:val="批注框文本 字符"/>
    <w:basedOn w:val="10"/>
    <w:link w:val="5"/>
    <w:autoRedefine/>
    <w:qFormat/>
    <w:uiPriority w:val="0"/>
    <w:rPr>
      <w:kern w:val="2"/>
      <w:sz w:val="18"/>
      <w:szCs w:val="18"/>
    </w:rPr>
  </w:style>
  <w:style w:type="character" w:customStyle="1" w:styleId="16">
    <w:name w:val="正文文本 字符"/>
    <w:basedOn w:val="10"/>
    <w:link w:val="3"/>
    <w:autoRedefine/>
    <w:qFormat/>
    <w:uiPriority w:val="0"/>
    <w:rPr>
      <w:kern w:val="2"/>
      <w:sz w:val="44"/>
      <w:szCs w:val="24"/>
    </w:rPr>
  </w:style>
  <w:style w:type="character" w:customStyle="1" w:styleId="17">
    <w:name w:val="页眉 字符"/>
    <w:basedOn w:val="10"/>
    <w:link w:val="6"/>
    <w:autoRedefine/>
    <w:qFormat/>
    <w:uiPriority w:val="99"/>
    <w:rPr>
      <w:kern w:val="2"/>
      <w:sz w:val="18"/>
      <w:szCs w:val="18"/>
    </w:rPr>
  </w:style>
  <w:style w:type="character" w:customStyle="1" w:styleId="18">
    <w:name w:val="日期 字符"/>
    <w:basedOn w:val="10"/>
    <w:link w:val="4"/>
    <w:autoRedefine/>
    <w:qFormat/>
    <w:uiPriority w:val="0"/>
    <w:rPr>
      <w:kern w:val="2"/>
      <w:sz w:val="21"/>
      <w:szCs w:val="24"/>
    </w:rPr>
  </w:style>
  <w:style w:type="paragraph" w:styleId="19">
    <w:name w:val="List Paragraph"/>
    <w:basedOn w:val="1"/>
    <w:autoRedefine/>
    <w:qFormat/>
    <w:uiPriority w:val="34"/>
    <w:pPr>
      <w:ind w:firstLine="420" w:firstLineChars="200"/>
    </w:pPr>
    <w:rPr>
      <w:rFonts w:ascii="Calibri" w:hAnsi="Calibr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7</Pages>
  <Words>581</Words>
  <Characters>3316</Characters>
  <Lines>27</Lines>
  <Paragraphs>7</Paragraphs>
  <TotalTime>1</TotalTime>
  <ScaleCrop>false</ScaleCrop>
  <LinksUpToDate>false</LinksUpToDate>
  <CharactersWithSpaces>3890</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2024-03-29T14:57:00Z</dcterms:created>
  <dc:creator>微软用户</dc:creator>
  <cp:lastModifiedBy>sugou</cp:lastModifiedBy>
  <cp:lastPrinted>2021-12-28T13:54:00Z</cp:lastPrinted>
  <dcterms:modified xsi:type="dcterms:W3CDTF">2026-05-22T09:40:52Z</dcterms:modified>
  <dc:title>中共常熟市东南街道工作委员会     稿纸</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87484A244E7647B3972F248E2D5DBFDF_13</vt:lpwstr>
  </property>
</Properties>
</file>