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985BD" w14:textId="77777777" w:rsidR="001A12F4" w:rsidRDefault="002D3DA3" w:rsidP="002D3DA3">
      <w:pPr>
        <w:adjustRightInd w:val="0"/>
        <w:snapToGrid w:val="0"/>
        <w:spacing w:line="560" w:lineRule="exact"/>
        <w:jc w:val="center"/>
        <w:rPr>
          <w:rFonts w:ascii="微软简老宋" w:eastAsia="微软简老宋" w:hAnsi="微软简老宋" w:cs="微软简老宋"/>
          <w:sz w:val="40"/>
          <w:szCs w:val="40"/>
        </w:rPr>
      </w:pPr>
      <w:r>
        <w:rPr>
          <w:rFonts w:ascii="微软简老宋" w:eastAsia="微软简老宋" w:hAnsi="微软简老宋" w:cs="微软简老宋" w:hint="eastAsia"/>
          <w:sz w:val="40"/>
          <w:szCs w:val="40"/>
        </w:rPr>
        <w:t>常熟市</w:t>
      </w:r>
      <w:r>
        <w:rPr>
          <w:rFonts w:ascii="微软简老宋" w:eastAsia="微软简老宋" w:hAnsi="微软简老宋" w:cs="微软简老宋" w:hint="eastAsia"/>
          <w:sz w:val="40"/>
          <w:szCs w:val="40"/>
        </w:rPr>
        <w:t>农业农村局</w:t>
      </w:r>
      <w:r>
        <w:rPr>
          <w:rFonts w:ascii="微软简老宋" w:eastAsia="微软简老宋" w:hAnsi="微软简老宋" w:cs="微软简老宋" w:hint="eastAsia"/>
          <w:sz w:val="40"/>
          <w:szCs w:val="40"/>
        </w:rPr>
        <w:t>202</w:t>
      </w:r>
      <w:r>
        <w:rPr>
          <w:rFonts w:ascii="微软简老宋" w:eastAsia="微软简老宋" w:hAnsi="微软简老宋" w:cs="微软简老宋" w:hint="eastAsia"/>
          <w:sz w:val="40"/>
          <w:szCs w:val="40"/>
        </w:rPr>
        <w:t>3</w:t>
      </w:r>
      <w:r>
        <w:rPr>
          <w:rFonts w:ascii="微软简老宋" w:eastAsia="微软简老宋" w:hAnsi="微软简老宋" w:cs="微软简老宋" w:hint="eastAsia"/>
          <w:sz w:val="40"/>
          <w:szCs w:val="40"/>
        </w:rPr>
        <w:t>年</w:t>
      </w:r>
      <w:r>
        <w:rPr>
          <w:rFonts w:ascii="微软简老宋" w:eastAsia="微软简老宋" w:hAnsi="微软简老宋" w:cs="微软简老宋" w:hint="eastAsia"/>
          <w:sz w:val="40"/>
          <w:szCs w:val="40"/>
        </w:rPr>
        <w:t>度</w:t>
      </w:r>
      <w:r>
        <w:rPr>
          <w:rFonts w:ascii="微软简老宋" w:eastAsia="微软简老宋" w:hAnsi="微软简老宋" w:cs="微软简老宋" w:hint="eastAsia"/>
          <w:sz w:val="40"/>
          <w:szCs w:val="40"/>
        </w:rPr>
        <w:t>法治政府建设</w:t>
      </w:r>
      <w:r>
        <w:rPr>
          <w:rFonts w:ascii="微软简老宋" w:eastAsia="微软简老宋" w:hAnsi="微软简老宋" w:cs="微软简老宋" w:hint="eastAsia"/>
          <w:sz w:val="40"/>
          <w:szCs w:val="40"/>
        </w:rPr>
        <w:t>工作报告</w:t>
      </w:r>
    </w:p>
    <w:p w14:paraId="522C6C68" w14:textId="77777777" w:rsidR="001A12F4" w:rsidRDefault="002D3DA3" w:rsidP="002D3DA3">
      <w:pPr>
        <w:adjustRightInd w:val="0"/>
        <w:snapToGrid w:val="0"/>
        <w:spacing w:line="560" w:lineRule="exact"/>
        <w:jc w:val="center"/>
        <w:rPr>
          <w:rFonts w:ascii="微软简老宋" w:eastAsia="微软简老宋" w:hAnsi="微软简老宋" w:cs="微软简老宋"/>
          <w:sz w:val="36"/>
          <w:szCs w:val="36"/>
        </w:rPr>
      </w:pPr>
      <w:proofErr w:type="gramStart"/>
      <w:r>
        <w:rPr>
          <w:rFonts w:ascii="仿宋_GB2312" w:eastAsia="仿宋_GB2312" w:hAnsi="宋体" w:cs="仿宋_GB2312"/>
          <w:color w:val="000000"/>
          <w:sz w:val="32"/>
          <w:szCs w:val="32"/>
        </w:rPr>
        <w:t>常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农政</w:t>
      </w:r>
      <w:proofErr w:type="gramEnd"/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〔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2024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〕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69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号</w:t>
      </w:r>
      <w:r>
        <w:rPr>
          <w:rFonts w:ascii="微软简老宋" w:eastAsia="微软简老宋" w:hAnsi="微软简老宋" w:cs="微软简老宋" w:hint="eastAsia"/>
          <w:sz w:val="36"/>
          <w:szCs w:val="36"/>
        </w:rPr>
        <w:t xml:space="preserve"> </w:t>
      </w:r>
    </w:p>
    <w:p w14:paraId="0D47AAB0" w14:textId="77777777" w:rsidR="001A12F4" w:rsidRDefault="002D3DA3" w:rsidP="002D3DA3">
      <w:pPr>
        <w:adjustRightInd w:val="0"/>
        <w:snapToGrid w:val="0"/>
        <w:spacing w:line="560" w:lineRule="exac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常熟市人民政府：</w:t>
      </w:r>
    </w:p>
    <w:p w14:paraId="116BD617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市</w:t>
      </w:r>
      <w:r>
        <w:rPr>
          <w:rFonts w:ascii="仿宋" w:eastAsia="仿宋" w:hAnsi="仿宋" w:cs="仿宋" w:hint="eastAsia"/>
          <w:sz w:val="32"/>
          <w:szCs w:val="32"/>
        </w:rPr>
        <w:t>农业农村局坚持以习近平新时代中国特色社会主义思想为指导，按照市委、市政府全面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依法治市的决策部署，</w:t>
      </w:r>
      <w:r>
        <w:rPr>
          <w:rFonts w:ascii="仿宋" w:eastAsia="仿宋" w:hAnsi="仿宋" w:cs="仿宋" w:hint="eastAsia"/>
          <w:sz w:val="32"/>
          <w:szCs w:val="32"/>
        </w:rPr>
        <w:t>围绕“促进国家治理体系和治理能力现代化”目标，深化农业农村法治建设，优化农业农村营商环境，推进农业综合执法改革，加大涉农普法宣传教育，保持农村社会和谐稳定，为全面推进农业高质量发展，奋力开启乡村振兴新征程提供了坚实的法治保障。</w:t>
      </w:r>
      <w:r>
        <w:rPr>
          <w:rFonts w:ascii="仿宋" w:eastAsia="仿宋" w:hAnsi="仿宋" w:cs="仿宋" w:hint="eastAsia"/>
          <w:sz w:val="32"/>
          <w:szCs w:val="32"/>
        </w:rPr>
        <w:t>组织开展情况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现总结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如下：</w:t>
      </w:r>
    </w:p>
    <w:p w14:paraId="7100F403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一、提高思想站位，重视法治建设工作</w:t>
      </w:r>
    </w:p>
    <w:p w14:paraId="4C9E181E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1.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夯实法治建设工作机制。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抓住“关键少数”，着力强化对主要负责人履行法治建设第一责任人责任制的落实，制订出台农业农村局领导干部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、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中层领导干部学法清单。在局党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组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的领导下，今年组织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召开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局法治建设工作专题会议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次，组织开展党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组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中心组学习会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次，</w:t>
      </w:r>
      <w:proofErr w:type="gramStart"/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结合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局月度</w:t>
      </w:r>
      <w:proofErr w:type="gramEnd"/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工作会议，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重点</w:t>
      </w:r>
      <w:proofErr w:type="gramStart"/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聚焦学习习近</w:t>
      </w:r>
      <w:proofErr w:type="gramEnd"/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平法治思想、《乡村振兴促进法》、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《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安全生产法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》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等内容。同时，科室认真贯彻落实局法治建设组织协调工作，及时传达落实依法治市委员会工作要求，确保我局法治建设工作深入推进。</w:t>
      </w:r>
    </w:p>
    <w:p w14:paraId="681008A5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2.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落实法治建设工作任务。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围绕市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年度依法治市工作要点，实施乡村振兴战略为总抓手，推进农业农村法治建设落到实处。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制定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了《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年常熟市农业农村局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法治建设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lastRenderedPageBreak/>
        <w:t>工作要点》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，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及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时召开专题会议，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部署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各项工作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。</w:t>
      </w:r>
    </w:p>
    <w:p w14:paraId="4A28824D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3.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提升法治建设工作水平。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强化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法定职责必须为、法无授权不可为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意识，改进和</w:t>
      </w:r>
      <w:proofErr w:type="gramStart"/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完善部门</w:t>
      </w:r>
      <w:proofErr w:type="gramEnd"/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领导班子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带头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学法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、中层干部集中学法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制度，增强学法的计划性、针对性和有效性。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牵头组织开展了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新修订的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《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行政处罚法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》集中学习活动。严格落实领导干部法律知识培训，组织任前法律知识考试，本年度新提拔领导干部，均进行任前法律知识考试。</w:t>
      </w:r>
    </w:p>
    <w:p w14:paraId="0F1B8E14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二、重视制度建设，夯实法治建设基础</w:t>
      </w:r>
    </w:p>
    <w:p w14:paraId="2F266165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1.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深化行政管理体制改革。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继续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加大简政放权，做好国务院和省、市部门不再审批事项的清理、衔接、下放工作。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及时梳理权力事项清单，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清理调整划转职责，健全审批事项负面清单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。目前，我局共有行政权力事项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479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项，其中行政处罚事项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296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项，其他各类事项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183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项，并全部通过省政务服务一张网对外公示。</w:t>
      </w:r>
    </w:p>
    <w:p w14:paraId="52D80615" w14:textId="191B3C19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/>
          <w:color w:val="000000" w:themeColor="text1"/>
          <w:sz w:val="32"/>
          <w:szCs w:val="32"/>
        </w:rPr>
        <w:t>2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强化规范性文件管理。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继续加强规范性文件日常管理，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落实规范性文件的统一登记、统一编号、统一公布制度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。组织局中层干部开展规范性文件制定程序培训，加深规范性文件制定主体、权限、程序、内容、形式等方面认识。全年累计开展各类规范性文件清理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4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次。</w:t>
      </w:r>
    </w:p>
    <w:p w14:paraId="446E2A2C" w14:textId="793F6864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/>
          <w:color w:val="000000" w:themeColor="text1"/>
          <w:sz w:val="32"/>
          <w:szCs w:val="32"/>
        </w:rPr>
        <w:t>3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全面落实执法制度建设。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继续全面落实行政执法公示制度、执法全过程记录制度、重大执法决定审核制度。健全事前事中事后执法公示，加强执法人员音像记录日常监督，保障执法装备配备，推进农业农村执法信息化建设。结合《行政处罚法》的修订实施，我局制订出台了《常熟市农业行政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lastRenderedPageBreak/>
        <w:t>处罚自由裁量适用规则及高频处罚事项自由裁量基准（试行）》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本年度，在市级以上平台公示行政处罚、行政许可信息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513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条，加强法制审核工作，全年开展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法制督导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起，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重大行政行为法制审核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91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起。</w:t>
      </w:r>
    </w:p>
    <w:p w14:paraId="5154ABF5" w14:textId="349AFA4B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楷体" w:eastAsia="楷体" w:hAnsi="楷体" w:cs="楷体"/>
          <w:color w:val="000000" w:themeColor="text1"/>
          <w:sz w:val="32"/>
          <w:szCs w:val="32"/>
        </w:rPr>
        <w:t>4</w:t>
      </w:r>
      <w:r>
        <w:rPr>
          <w:rFonts w:ascii="楷体" w:eastAsia="楷体" w:hAnsi="楷体" w:cs="楷体" w:hint="eastAsia"/>
          <w:color w:val="000000" w:themeColor="text1"/>
          <w:sz w:val="32"/>
          <w:szCs w:val="32"/>
        </w:rPr>
        <w:t>.</w:t>
      </w:r>
      <w:r>
        <w:rPr>
          <w:rFonts w:ascii="楷体" w:eastAsia="楷体" w:hAnsi="楷体" w:cs="楷体" w:hint="eastAsia"/>
          <w:color w:val="000000" w:themeColor="text1"/>
          <w:sz w:val="32"/>
          <w:szCs w:val="32"/>
        </w:rPr>
        <w:t>推进政务信息公开。</w:t>
      </w:r>
      <w:r>
        <w:rPr>
          <w:rFonts w:ascii="仿宋" w:eastAsia="仿宋" w:hAnsi="仿宋" w:cs="仿宋" w:hint="eastAsia"/>
          <w:sz w:val="32"/>
          <w:szCs w:val="32"/>
        </w:rPr>
        <w:t>我局坚持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“以公开为常态、不公开为例外”的原则，围绕打造服务型机关，不断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加大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政府信息公开力度，加深政府信息公开程度。本年度通过中国常熟，常熟三</w:t>
      </w:r>
      <w:proofErr w:type="gramStart"/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农微信公众号</w:t>
      </w:r>
      <w:proofErr w:type="gramEnd"/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等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其他新媒体</w:t>
      </w:r>
      <w:r>
        <w:rPr>
          <w:rFonts w:ascii="仿宋" w:eastAsia="仿宋" w:hAnsi="仿宋" w:cs="仿宋" w:hint="eastAsia"/>
          <w:sz w:val="32"/>
          <w:szCs w:val="32"/>
        </w:rPr>
        <w:t>累计公开各类政务信息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408</w:t>
      </w:r>
      <w:r>
        <w:rPr>
          <w:rFonts w:ascii="仿宋" w:eastAsia="仿宋" w:hAnsi="仿宋" w:cs="仿宋" w:hint="eastAsia"/>
          <w:sz w:val="32"/>
          <w:szCs w:val="32"/>
        </w:rPr>
        <w:t>条，向省级以上行业监管平台上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传行业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监管信息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266822</w:t>
      </w:r>
      <w:r>
        <w:rPr>
          <w:rFonts w:ascii="仿宋" w:eastAsia="仿宋" w:hAnsi="仿宋" w:cs="仿宋" w:hint="eastAsia"/>
          <w:sz w:val="32"/>
          <w:szCs w:val="32"/>
        </w:rPr>
        <w:t>条。</w:t>
      </w:r>
    </w:p>
    <w:p w14:paraId="3855A4E7" w14:textId="44DF5E23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楷体_GB2312" w:eastAsia="楷体_GB2312" w:hAnsi="楷体_GB2312" w:cs="楷体_GB2312"/>
          <w:color w:val="000000" w:themeColor="text1"/>
          <w:sz w:val="32"/>
          <w:szCs w:val="32"/>
        </w:rPr>
        <w:t>5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强化法律顾问保障。</w:t>
      </w:r>
      <w:r>
        <w:rPr>
          <w:rFonts w:ascii="Times New Roman" w:eastAsia="仿宋" w:hAnsi="Times New Roman" w:cs="Times New Roman" w:hint="eastAsia"/>
          <w:sz w:val="32"/>
          <w:szCs w:val="32"/>
        </w:rPr>
        <w:t>进一步落实法律顾问制度，充分发挥法律顾问、公职律师在推进农业农村法治建设中的积极作用。委托法律顾问在处置农村宅基地处理、农村集体资产管理、农田承包等信访事项中提供法律意见书，</w:t>
      </w:r>
      <w:r>
        <w:rPr>
          <w:rFonts w:ascii="Times New Roman" w:eastAsia="仿宋" w:hAnsi="Times New Roman" w:cs="Times New Roman"/>
          <w:sz w:val="32"/>
          <w:szCs w:val="32"/>
        </w:rPr>
        <w:t>妥善</w:t>
      </w:r>
      <w:r>
        <w:rPr>
          <w:rFonts w:ascii="Times New Roman" w:eastAsia="仿宋" w:hAnsi="Times New Roman" w:cs="Times New Roman" w:hint="eastAsia"/>
          <w:sz w:val="32"/>
          <w:szCs w:val="32"/>
        </w:rPr>
        <w:t>处理</w:t>
      </w:r>
      <w:r>
        <w:rPr>
          <w:rFonts w:ascii="Times New Roman" w:eastAsia="仿宋" w:hAnsi="Times New Roman" w:cs="Times New Roman"/>
          <w:sz w:val="32"/>
          <w:szCs w:val="32"/>
        </w:rPr>
        <w:t>一</w:t>
      </w:r>
      <w:r>
        <w:rPr>
          <w:rFonts w:ascii="Times New Roman" w:eastAsia="仿宋" w:hAnsi="Times New Roman" w:cs="Times New Roman" w:hint="eastAsia"/>
          <w:sz w:val="32"/>
          <w:szCs w:val="32"/>
        </w:rPr>
        <w:t>起政府</w:t>
      </w:r>
      <w:r>
        <w:rPr>
          <w:rFonts w:ascii="Times New Roman" w:eastAsia="仿宋" w:hAnsi="Times New Roman" w:cs="Times New Roman"/>
          <w:sz w:val="32"/>
          <w:szCs w:val="32"/>
        </w:rPr>
        <w:t>采购合同</w:t>
      </w:r>
      <w:r>
        <w:rPr>
          <w:rFonts w:ascii="Times New Roman" w:eastAsia="仿宋" w:hAnsi="Times New Roman" w:cs="Times New Roman" w:hint="eastAsia"/>
          <w:sz w:val="32"/>
          <w:szCs w:val="32"/>
        </w:rPr>
        <w:t>中</w:t>
      </w:r>
      <w:r>
        <w:rPr>
          <w:rFonts w:ascii="Times New Roman" w:eastAsia="仿宋" w:hAnsi="Times New Roman" w:cs="Times New Roman"/>
          <w:sz w:val="32"/>
          <w:szCs w:val="32"/>
        </w:rPr>
        <w:t>止履行</w:t>
      </w:r>
      <w:r>
        <w:rPr>
          <w:rFonts w:ascii="Times New Roman" w:eastAsia="仿宋" w:hAnsi="Times New Roman" w:cs="Times New Roman" w:hint="eastAsia"/>
          <w:sz w:val="32"/>
          <w:szCs w:val="32"/>
        </w:rPr>
        <w:t>的后续</w:t>
      </w:r>
      <w:r>
        <w:rPr>
          <w:rFonts w:ascii="Times New Roman" w:eastAsia="仿宋" w:hAnsi="Times New Roman" w:cs="Times New Roman"/>
          <w:sz w:val="32"/>
          <w:szCs w:val="32"/>
        </w:rPr>
        <w:t>法律程序。</w:t>
      </w:r>
    </w:p>
    <w:p w14:paraId="48A41606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三、强化执法监督，全面履行监管职能</w:t>
      </w:r>
    </w:p>
    <w:p w14:paraId="59EDB16E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1.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加强行政执法监督。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严格规范行政执法主体，按照部门“三定”方案，严格执行行政执法主体的资格准入制度，落实执法人员资格管理，编制农业农村局执法人员清单目录，现有登记在册执法人员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51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名。加强</w:t>
      </w:r>
      <w:r>
        <w:rPr>
          <w:rFonts w:ascii="Times New Roman" w:eastAsia="仿宋" w:hAnsi="Times New Roman" w:cs="Times New Roman"/>
          <w:color w:val="000000" w:themeColor="text1"/>
          <w:sz w:val="32"/>
          <w:szCs w:val="32"/>
        </w:rPr>
        <w:t>执法能力建设，</w:t>
      </w:r>
      <w:r>
        <w:rPr>
          <w:rFonts w:ascii="Times New Roman" w:eastAsia="仿宋" w:hAnsi="Times New Roman" w:cs="Times New Roman" w:hint="eastAsia"/>
          <w:bCs/>
          <w:color w:val="000000" w:themeColor="text1"/>
          <w:sz w:val="32"/>
          <w:szCs w:val="32"/>
        </w:rPr>
        <w:t>组织好执法人员核发全</w:t>
      </w:r>
      <w:r>
        <w:rPr>
          <w:rFonts w:ascii="Times New Roman" w:eastAsia="仿宋" w:hAnsi="Times New Roman" w:cs="Times New Roman"/>
          <w:bCs/>
          <w:color w:val="000000" w:themeColor="text1"/>
          <w:sz w:val="32"/>
          <w:szCs w:val="32"/>
        </w:rPr>
        <w:t>国统一</w:t>
      </w:r>
      <w:r>
        <w:rPr>
          <w:rFonts w:ascii="Times New Roman" w:eastAsia="仿宋" w:hAnsi="Times New Roman" w:cs="Times New Roman" w:hint="eastAsia"/>
          <w:bCs/>
          <w:color w:val="000000" w:themeColor="text1"/>
          <w:sz w:val="32"/>
          <w:szCs w:val="32"/>
        </w:rPr>
        <w:t>执法证的考试</w:t>
      </w:r>
      <w:r>
        <w:rPr>
          <w:rFonts w:ascii="Times New Roman" w:eastAsia="仿宋" w:hAnsi="Times New Roman" w:cs="Times New Roman"/>
          <w:bCs/>
          <w:color w:val="000000" w:themeColor="text1"/>
          <w:sz w:val="32"/>
          <w:szCs w:val="32"/>
        </w:rPr>
        <w:t>工作</w:t>
      </w:r>
      <w:r>
        <w:rPr>
          <w:rFonts w:ascii="Times New Roman" w:eastAsia="仿宋" w:hAnsi="Times New Roman" w:cs="Times New Roman" w:hint="eastAsia"/>
          <w:bCs/>
          <w:color w:val="000000" w:themeColor="text1"/>
          <w:sz w:val="32"/>
          <w:szCs w:val="32"/>
        </w:rPr>
        <w:t>，加强执法队伍培训，组织</w:t>
      </w:r>
      <w:r>
        <w:rPr>
          <w:rFonts w:ascii="Times New Roman" w:eastAsia="仿宋" w:hAnsi="Times New Roman" w:cs="Times New Roman"/>
          <w:bCs/>
          <w:color w:val="000000" w:themeColor="text1"/>
          <w:sz w:val="32"/>
          <w:szCs w:val="32"/>
        </w:rPr>
        <w:t>人员参加上级各</w:t>
      </w:r>
      <w:r>
        <w:rPr>
          <w:rFonts w:ascii="Times New Roman" w:eastAsia="仿宋" w:hAnsi="Times New Roman" w:cs="Times New Roman" w:hint="eastAsia"/>
          <w:bCs/>
          <w:color w:val="000000" w:themeColor="text1"/>
          <w:sz w:val="32"/>
          <w:szCs w:val="32"/>
        </w:rPr>
        <w:t>类</w:t>
      </w:r>
      <w:r>
        <w:rPr>
          <w:rFonts w:ascii="Times New Roman" w:eastAsia="仿宋" w:hAnsi="Times New Roman" w:cs="Times New Roman"/>
          <w:bCs/>
          <w:color w:val="000000" w:themeColor="text1"/>
          <w:sz w:val="32"/>
          <w:szCs w:val="32"/>
        </w:rPr>
        <w:t>培训和局组织的培训，</w:t>
      </w:r>
      <w:r>
        <w:rPr>
          <w:rFonts w:ascii="Times New Roman" w:eastAsia="仿宋" w:hAnsi="Times New Roman" w:cs="Times New Roman" w:hint="eastAsia"/>
          <w:bCs/>
          <w:color w:val="000000" w:themeColor="text1"/>
          <w:sz w:val="32"/>
          <w:szCs w:val="32"/>
        </w:rPr>
        <w:t>严格落实执法人员月度学法制度，公务员季度学法制度。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加强案件审核审查，组织开展年中行政许可和行政处罚案卷评审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lastRenderedPageBreak/>
        <w:t>会，邀请公检法部门以及上级执法单位进行执法指导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次。</w:t>
      </w:r>
    </w:p>
    <w:p w14:paraId="0EBCAD38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2.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强化行政执法监管。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继续坚持“双随机”监管与专项整治相结合的行业监管模式。机构改革调整后，</w:t>
      </w:r>
      <w:r>
        <w:rPr>
          <w:rFonts w:ascii="Times New Roman" w:eastAsia="仿宋" w:hAnsi="Times New Roman" w:cs="Times New Roman" w:hint="eastAsia"/>
          <w:bCs/>
          <w:color w:val="000000" w:themeColor="text1"/>
          <w:sz w:val="32"/>
          <w:szCs w:val="32"/>
        </w:rPr>
        <w:t>及时调整监管对象信息，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“两库</w:t>
      </w:r>
      <w:proofErr w:type="gramStart"/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一</w:t>
      </w:r>
      <w:proofErr w:type="gramEnd"/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清单”监管平台现有监管对象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614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家、执法人员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51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名、执法事项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32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项。本年度，各单位累计上报组织开展双随机执法监管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6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批次，其中检查农资生产经营单位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8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8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家，农产品生产单位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家，农机合作社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9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个，水产苗种生产企业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家，水产专业合作社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15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家，规模养殖场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16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个，规模诊疗机构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9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家。</w:t>
      </w:r>
    </w:p>
    <w:p w14:paraId="774DF22A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3.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推进农业行政综合执法。</w:t>
      </w:r>
      <w:r>
        <w:rPr>
          <w:rFonts w:ascii="仿宋" w:eastAsia="仿宋" w:hAnsi="仿宋" w:cs="仿宋" w:hint="eastAsia"/>
          <w:sz w:val="32"/>
          <w:szCs w:val="32"/>
        </w:rPr>
        <w:t>充分发挥综合执法优势，尽职履责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缺位、实干担当有作为。围绕重点时节、地区、行业等，以问题为导向，开展各类打非治违专项整治行动，重点关注乡村振兴、禁渔护江、农产品质量安全、动物卫生防疫、农业安全生产等领域，通过开展农产品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质</w:t>
      </w:r>
      <w:proofErr w:type="gramStart"/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量安全</w:t>
      </w:r>
      <w:proofErr w:type="gramEnd"/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“利剑整治”、“农资打假护农”、“四清四无”等专项行动累计出动执法人员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5889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人次，查办案件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275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件，罚没款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24.81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万元。</w:t>
      </w:r>
    </w:p>
    <w:p w14:paraId="045037A3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4.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完善行政调解工作。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继续畅通信访投诉渠道，坚持“有诉必接，接诉必复”，耐心、细致、热情处理各类群众信访咨询，开展生产技术指导。今年共办理各类“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12345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”</w:t>
      </w:r>
      <w:proofErr w:type="gramStart"/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热线工</w:t>
      </w:r>
      <w:proofErr w:type="gramEnd"/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单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498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件，其中“寒山闻钟”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154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件，省政风热线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13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件，本年度未发生一起涉农群体性上访事件、未发生涉农大范围生产事故。</w:t>
      </w:r>
    </w:p>
    <w:p w14:paraId="14731DCB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四、落实普法宣传，打造法治建设高地</w:t>
      </w:r>
    </w:p>
    <w:p w14:paraId="1F4AA35B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lastRenderedPageBreak/>
        <w:t>1.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深入贯彻落实“谁执法谁普法”责任制。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按照“谁执法谁普法”、“谁主管谁普法”“谁服务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谁普法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”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的原则，制定了农业农村局普法责任清单，将普法内容、普法任务和工作目标分解到各处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室（单位），明确责任人员，一级抓一级，层层抓落实，传导普法压力，凝聚普法合力，确保普法活动取得实效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。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根据农村学法用法示范户培育要求，我局制定出台了《</w:t>
      </w:r>
      <w:r>
        <w:rPr>
          <w:rFonts w:ascii="Times New Roman" w:eastAsia="仿宋" w:hAnsi="Times New Roman" w:cs="Times New Roman"/>
          <w:sz w:val="32"/>
          <w:szCs w:val="32"/>
        </w:rPr>
        <w:t>常熟市农村学法用法示范户培育工作实施方案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》及其配套方案。成功协办了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2023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全国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“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宪法进农村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”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主场活动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。本年度，</w:t>
      </w:r>
      <w:r>
        <w:rPr>
          <w:rFonts w:ascii="Times New Roman" w:eastAsia="仿宋" w:hAnsi="Times New Roman" w:cs="Times New Roman" w:hint="eastAsia"/>
          <w:sz w:val="32"/>
          <w:szCs w:val="32"/>
        </w:rPr>
        <w:t>我局新增</w:t>
      </w:r>
      <w:r>
        <w:rPr>
          <w:rFonts w:ascii="Times New Roman" w:eastAsia="仿宋" w:hAnsi="Times New Roman" w:cs="Times New Roman"/>
          <w:sz w:val="32"/>
          <w:szCs w:val="32"/>
        </w:rPr>
        <w:t>培育示范户</w:t>
      </w:r>
      <w:r>
        <w:rPr>
          <w:rFonts w:ascii="Times New Roman" w:eastAsia="仿宋" w:hAnsi="Times New Roman" w:cs="Times New Roman" w:hint="eastAsia"/>
          <w:sz w:val="32"/>
          <w:szCs w:val="32"/>
        </w:rPr>
        <w:t>221</w:t>
      </w:r>
      <w:r>
        <w:rPr>
          <w:rFonts w:ascii="Times New Roman" w:eastAsia="仿宋" w:hAnsi="Times New Roman" w:cs="Times New Roman"/>
          <w:sz w:val="32"/>
          <w:szCs w:val="32"/>
        </w:rPr>
        <w:t>户，组织集中培训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/>
          <w:sz w:val="32"/>
          <w:szCs w:val="32"/>
        </w:rPr>
        <w:t>期</w:t>
      </w:r>
      <w:r>
        <w:rPr>
          <w:rFonts w:ascii="Times New Roman" w:eastAsia="仿宋" w:hAnsi="Times New Roman" w:cs="Times New Roman"/>
          <w:sz w:val="32"/>
          <w:szCs w:val="32"/>
        </w:rPr>
        <w:t>24</w:t>
      </w:r>
      <w:r>
        <w:rPr>
          <w:rFonts w:ascii="Times New Roman" w:eastAsia="仿宋" w:hAnsi="Times New Roman" w:cs="Times New Roman"/>
          <w:sz w:val="32"/>
          <w:szCs w:val="32"/>
        </w:rPr>
        <w:t>课时，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组织线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上平台学习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/>
          <w:sz w:val="32"/>
          <w:szCs w:val="32"/>
        </w:rPr>
        <w:t>期；现场组织乡镇集中学习座谈会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次</w:t>
      </w:r>
      <w:r>
        <w:rPr>
          <w:rFonts w:ascii="Times New Roman" w:eastAsia="仿宋" w:hAnsi="Times New Roman" w:cs="Times New Roman" w:hint="eastAsia"/>
          <w:sz w:val="32"/>
          <w:szCs w:val="32"/>
        </w:rPr>
        <w:t>26</w:t>
      </w:r>
      <w:r>
        <w:rPr>
          <w:rFonts w:ascii="Times New Roman" w:eastAsia="仿宋" w:hAnsi="Times New Roman" w:cs="Times New Roman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人次，开展执法人员与示范户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结对子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活动</w:t>
      </w:r>
      <w:r>
        <w:rPr>
          <w:rFonts w:ascii="Times New Roman" w:eastAsia="仿宋" w:hAnsi="Times New Roman" w:cs="Times New Roman" w:hint="eastAsia"/>
          <w:sz w:val="32"/>
          <w:szCs w:val="32"/>
        </w:rPr>
        <w:t>18</w:t>
      </w:r>
      <w:r>
        <w:rPr>
          <w:rFonts w:ascii="Times New Roman" w:eastAsia="仿宋" w:hAnsi="Times New Roman" w:cs="Times New Roman"/>
          <w:sz w:val="32"/>
          <w:szCs w:val="32"/>
        </w:rPr>
        <w:t>起，结对</w:t>
      </w:r>
      <w:r>
        <w:rPr>
          <w:rFonts w:ascii="Times New Roman" w:eastAsia="仿宋" w:hAnsi="Times New Roman" w:cs="Times New Roman" w:hint="eastAsia"/>
          <w:sz w:val="32"/>
          <w:szCs w:val="32"/>
        </w:rPr>
        <w:t>指导</w:t>
      </w:r>
      <w:r>
        <w:rPr>
          <w:rFonts w:ascii="Times New Roman" w:eastAsia="仿宋" w:hAnsi="Times New Roman" w:cs="Times New Roman"/>
          <w:sz w:val="32"/>
          <w:szCs w:val="32"/>
        </w:rPr>
        <w:t>示范户</w:t>
      </w:r>
      <w:r>
        <w:rPr>
          <w:rFonts w:ascii="Times New Roman" w:eastAsia="仿宋" w:hAnsi="Times New Roman" w:cs="Times New Roman"/>
          <w:sz w:val="32"/>
          <w:szCs w:val="32"/>
        </w:rPr>
        <w:t>50</w:t>
      </w:r>
      <w:r>
        <w:rPr>
          <w:rFonts w:ascii="Times New Roman" w:eastAsia="仿宋" w:hAnsi="Times New Roman" w:cs="Times New Roman"/>
          <w:sz w:val="32"/>
          <w:szCs w:val="32"/>
        </w:rPr>
        <w:t>户</w:t>
      </w:r>
      <w:r>
        <w:rPr>
          <w:rFonts w:ascii="Times New Roman" w:eastAsia="仿宋" w:hAnsi="Times New Roman" w:cs="Times New Roman" w:hint="eastAsia"/>
          <w:sz w:val="32"/>
          <w:szCs w:val="32"/>
        </w:rPr>
        <w:t>，命名农村法治教育基地</w:t>
      </w:r>
      <w:r>
        <w:rPr>
          <w:rFonts w:ascii="Times New Roman" w:eastAsia="仿宋" w:hAnsi="Times New Roman" w:cs="Times New Roman" w:hint="eastAsia"/>
          <w:sz w:val="32"/>
          <w:szCs w:val="32"/>
        </w:rPr>
        <w:t>32</w:t>
      </w:r>
      <w:r>
        <w:rPr>
          <w:rFonts w:ascii="Times New Roman" w:eastAsia="仿宋" w:hAnsi="Times New Roman" w:cs="Times New Roman" w:hint="eastAsia"/>
          <w:sz w:val="32"/>
          <w:szCs w:val="32"/>
        </w:rPr>
        <w:t>个，</w:t>
      </w:r>
      <w:r>
        <w:rPr>
          <w:rFonts w:ascii="Times New Roman" w:eastAsia="仿宋" w:hAnsi="Times New Roman" w:cs="Times New Roman"/>
          <w:sz w:val="32"/>
          <w:szCs w:val="32"/>
        </w:rPr>
        <w:t>举办</w:t>
      </w:r>
      <w:r>
        <w:rPr>
          <w:rFonts w:ascii="Times New Roman" w:eastAsia="仿宋" w:hAnsi="Times New Roman" w:cs="Times New Roman" w:hint="eastAsia"/>
          <w:sz w:val="32"/>
          <w:szCs w:val="32"/>
        </w:rPr>
        <w:t>全市“一镇一品”</w:t>
      </w:r>
      <w:r>
        <w:rPr>
          <w:rFonts w:ascii="Times New Roman" w:eastAsia="仿宋" w:hAnsi="Times New Roman" w:cs="Times New Roman"/>
          <w:sz w:val="32"/>
          <w:szCs w:val="32"/>
        </w:rPr>
        <w:t>三农法治文艺汇演</w:t>
      </w:r>
      <w:r>
        <w:rPr>
          <w:rFonts w:ascii="Times New Roman" w:eastAsia="仿宋" w:hAnsi="Times New Roman" w:cs="Times New Roman" w:hint="eastAsia"/>
          <w:sz w:val="32"/>
          <w:szCs w:val="32"/>
        </w:rPr>
        <w:t>14</w:t>
      </w:r>
      <w:r>
        <w:rPr>
          <w:rFonts w:ascii="Times New Roman" w:eastAsia="仿宋" w:hAnsi="Times New Roman" w:cs="Times New Roman" w:hint="eastAsia"/>
          <w:sz w:val="32"/>
          <w:szCs w:val="32"/>
        </w:rPr>
        <w:t>场</w:t>
      </w:r>
      <w:r>
        <w:rPr>
          <w:rFonts w:ascii="Times New Roman" w:eastAsia="仿宋" w:hAnsi="Times New Roman" w:cs="Times New Roman"/>
          <w:sz w:val="32"/>
          <w:szCs w:val="32"/>
        </w:rPr>
        <w:t>，组织示范户集中授牌活动</w:t>
      </w:r>
      <w:r>
        <w:rPr>
          <w:rFonts w:ascii="Times New Roman" w:eastAsia="仿宋" w:hAnsi="Times New Roman" w:cs="Times New Roman"/>
          <w:sz w:val="32"/>
          <w:szCs w:val="32"/>
        </w:rPr>
        <w:t>3</w:t>
      </w:r>
      <w:r>
        <w:rPr>
          <w:rFonts w:ascii="Times New Roman" w:eastAsia="仿宋" w:hAnsi="Times New Roman" w:cs="Times New Roman"/>
          <w:sz w:val="32"/>
          <w:szCs w:val="32"/>
        </w:rPr>
        <w:t>次。</w:t>
      </w:r>
    </w:p>
    <w:p w14:paraId="0D698CCA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2.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充分利用公共服务过程向农业生产经营者开展普法。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督促事业站所在农业技术推广、动植物疫病防控、培训教育等公共服务过程中，向农业生产经营者宣传普及农业生产安全、农产品质量安全、农业投入</w:t>
      </w:r>
      <w:proofErr w:type="gramStart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品安全</w:t>
      </w:r>
      <w:proofErr w:type="gramEnd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使用、农业资源环境保护等方面的法律法规知识，指导其合法生产经营。</w:t>
      </w: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本年度各站所举办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“水产品养殖安全指导”、“农资下乡展示宣传”、“农作物病虫害防治与农药安全使用”等各类普法活动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26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起；举办农机安全培训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17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期，发放宣传操作手册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8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21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册；举办渔船安全培训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5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期，培训船员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18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4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人次；发放长江禁渔倡议书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6500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余份，精准投送禁渔普法短信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40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万条，张贴禁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lastRenderedPageBreak/>
        <w:t>渔海报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200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余份，沿江新增禁渔宣传牌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块。通过在重点水域安装感应喇叭，在禁渔巡逻车上安装扩音喇叭，播放语音宣传长江禁渔普法知识，确保重点人群、重点区域和关键环节全覆盖。</w:t>
      </w:r>
    </w:p>
    <w:p w14:paraId="254AD3BD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3.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充分利用行政处罚过程向相对人开展普法。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继续推行以案释法工作，全年在各级执法平台上报以案释法案例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24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起，坚持把普法融入行政检查、案件受理、调查取证、案件审理、告知听证、处罚决定和处罚执行的全过程。同时推广说理</w:t>
      </w:r>
      <w:proofErr w:type="gramStart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式执法</w:t>
      </w:r>
      <w:proofErr w:type="gramEnd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文书，行政处罚决定坚持逻辑严谨、释法充分、说理透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彻、浅显易懂，并告知相对人权利救济途径。</w:t>
      </w:r>
    </w:p>
    <w:p w14:paraId="42A9AF89" w14:textId="136231B4" w:rsidR="001A12F4" w:rsidRDefault="002D3DA3" w:rsidP="002D3DA3">
      <w:pPr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4.</w:t>
      </w:r>
      <w:r>
        <w:rPr>
          <w:rFonts w:ascii="楷体_GB2312" w:eastAsia="楷体_GB2312" w:hAnsi="楷体_GB2312" w:cs="楷体_GB2312" w:hint="eastAsia"/>
          <w:color w:val="000000" w:themeColor="text1"/>
          <w:sz w:val="32"/>
          <w:szCs w:val="32"/>
        </w:rPr>
        <w:t>充分利用传统媒体和新媒体等平台开展普法。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继续加强政务网站、微信、手机短信等新媒体普法平台建设。注重发挥传统媒体与新兴媒体在法制宣传中的互补作用，丰富普法形式，加强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法治宣传力度，增强农业法治宣传教育的吸引力、感染力和实效性。</w:t>
      </w:r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本年度积极参与市</w:t>
      </w:r>
      <w:proofErr w:type="gramStart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融媒体</w:t>
      </w:r>
      <w:proofErr w:type="gramEnd"/>
      <w:r>
        <w:rPr>
          <w:rFonts w:ascii="仿宋" w:eastAsia="仿宋" w:hAnsi="仿宋" w:cs="仿宋" w:hint="eastAsia"/>
          <w:bCs/>
          <w:color w:val="000000" w:themeColor="text1"/>
          <w:sz w:val="32"/>
          <w:szCs w:val="32"/>
        </w:rPr>
        <w:t>法治会客厅节目录制，以典型案例、典型故事为背景，宣讲农业法律法规；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推出的乡村振兴普法合唱“乡村振兴在路上”入选江苏省农业农村普法现场会节目名单。</w:t>
      </w:r>
    </w:p>
    <w:p w14:paraId="02BFE541" w14:textId="3F5BF021" w:rsidR="001A12F4" w:rsidRPr="002D3DA3" w:rsidRDefault="002D3DA3" w:rsidP="002D3DA3">
      <w:pPr>
        <w:pStyle w:val="a4"/>
        <w:numPr>
          <w:ilvl w:val="0"/>
          <w:numId w:val="2"/>
        </w:numPr>
        <w:adjustRightInd w:val="0"/>
        <w:snapToGrid w:val="0"/>
        <w:spacing w:line="560" w:lineRule="exact"/>
        <w:ind w:firstLineChars="0"/>
        <w:jc w:val="left"/>
        <w:rPr>
          <w:rFonts w:ascii="黑体" w:eastAsia="黑体" w:hAnsi="黑体" w:cs="黑体"/>
          <w:color w:val="000000" w:themeColor="text1"/>
          <w:sz w:val="32"/>
          <w:szCs w:val="32"/>
        </w:rPr>
      </w:pPr>
      <w:r w:rsidRPr="002D3DA3">
        <w:rPr>
          <w:rFonts w:ascii="黑体" w:eastAsia="黑体" w:hAnsi="黑体" w:cs="黑体" w:hint="eastAsia"/>
          <w:color w:val="000000" w:themeColor="text1"/>
          <w:sz w:val="32"/>
          <w:szCs w:val="32"/>
        </w:rPr>
        <w:t>明年工作打算</w:t>
      </w:r>
    </w:p>
    <w:p w14:paraId="16CA90DC" w14:textId="3C25C503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/>
          <w:sz w:val="32"/>
          <w:szCs w:val="32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落实部门依法依规办事。做好我局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4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年度重大行政决策、规范性文件起草报备、定期清理。启动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4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年度规范性文件实施后评估工作，对我局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2019-202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年度起草的规范性文件以调查走访、案例分析、群众意见征集</w:t>
      </w:r>
      <w:r>
        <w:rPr>
          <w:rFonts w:ascii="仿宋" w:eastAsia="仿宋" w:hAnsi="仿宋" w:cs="仿宋" w:hint="eastAsia"/>
          <w:sz w:val="32"/>
          <w:szCs w:val="32"/>
        </w:rPr>
        <w:t>反馈等形式进行实施后评估。</w:t>
      </w:r>
    </w:p>
    <w:p w14:paraId="7423FBC6" w14:textId="542A97F3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2</w:t>
      </w:r>
      <w:r>
        <w:rPr>
          <w:rFonts w:ascii="仿宋" w:eastAsia="仿宋" w:hAnsi="仿宋" w:cs="仿宋"/>
          <w:sz w:val="32"/>
          <w:szCs w:val="32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推动部门行政执法规范化建设。继续推动农业综合执法改革，重点关注执法人员登记注册备案、农业执法人员培训提升、农业执法自由裁量调整、罚没物品管理监督、农业执法案卷归档保存。加强农业执法案件审核，重点审核案件程序办理流程、适用法律法规、处罚裁量说明，处罚文书说理；进</w:t>
      </w:r>
      <w:r>
        <w:rPr>
          <w:rFonts w:ascii="仿宋" w:eastAsia="仿宋" w:hAnsi="仿宋" w:cs="仿宋"/>
          <w:sz w:val="32"/>
          <w:szCs w:val="32"/>
        </w:rPr>
        <w:t>一步加强案卷的管理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/>
          <w:sz w:val="32"/>
          <w:szCs w:val="32"/>
        </w:rPr>
        <w:t>做到及时结案，及时审核存档</w:t>
      </w:r>
      <w:r>
        <w:rPr>
          <w:rFonts w:ascii="仿宋" w:eastAsia="仿宋" w:hAnsi="仿宋" w:cs="仿宋" w:hint="eastAsia"/>
          <w:sz w:val="32"/>
          <w:szCs w:val="32"/>
        </w:rPr>
        <w:t>；</w:t>
      </w:r>
      <w:r>
        <w:rPr>
          <w:rFonts w:ascii="仿宋" w:eastAsia="仿宋" w:hAnsi="仿宋" w:cs="仿宋"/>
          <w:sz w:val="32"/>
          <w:szCs w:val="32"/>
        </w:rPr>
        <w:t>加强案件信息的</w:t>
      </w:r>
      <w:r>
        <w:rPr>
          <w:rFonts w:ascii="仿宋" w:eastAsia="仿宋" w:hAnsi="仿宋" w:cs="仿宋" w:hint="eastAsia"/>
          <w:sz w:val="32"/>
          <w:szCs w:val="32"/>
        </w:rPr>
        <w:t>在执法</w:t>
      </w:r>
      <w:r>
        <w:rPr>
          <w:rFonts w:ascii="仿宋" w:eastAsia="仿宋" w:hAnsi="仿宋" w:cs="仿宋"/>
          <w:sz w:val="32"/>
          <w:szCs w:val="32"/>
        </w:rPr>
        <w:t>平台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/>
          <w:sz w:val="32"/>
          <w:szCs w:val="32"/>
        </w:rPr>
        <w:t>双公示平台的及时准确录入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14:paraId="237EC016" w14:textId="7ED33B14" w:rsidR="001A12F4" w:rsidRDefault="002D3DA3" w:rsidP="002D3DA3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加强部门普法宣传力度。以“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八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五”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普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法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规划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为引领，</w:t>
      </w:r>
      <w:r>
        <w:rPr>
          <w:rFonts w:ascii="仿宋" w:eastAsia="仿宋" w:hAnsi="仿宋" w:cs="仿宋" w:hint="eastAsia"/>
          <w:sz w:val="32"/>
          <w:szCs w:val="32"/>
        </w:rPr>
        <w:t>以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实施省涉农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普法机制</w:t>
      </w:r>
      <w:r>
        <w:rPr>
          <w:rFonts w:ascii="仿宋" w:eastAsia="仿宋" w:hAnsi="仿宋" w:cs="仿宋"/>
          <w:sz w:val="32"/>
          <w:szCs w:val="32"/>
        </w:rPr>
        <w:t>创新</w:t>
      </w:r>
      <w:r>
        <w:rPr>
          <w:rFonts w:ascii="仿宋" w:eastAsia="仿宋" w:hAnsi="仿宋" w:cs="仿宋" w:hint="eastAsia"/>
          <w:sz w:val="32"/>
          <w:szCs w:val="32"/>
        </w:rPr>
        <w:t>改革项目为契机，从</w:t>
      </w:r>
      <w:r>
        <w:rPr>
          <w:rFonts w:ascii="仿宋" w:eastAsia="仿宋" w:hAnsi="仿宋" w:cs="仿宋"/>
          <w:sz w:val="32"/>
          <w:szCs w:val="32"/>
        </w:rPr>
        <w:t>内控</w:t>
      </w:r>
      <w:r>
        <w:rPr>
          <w:rFonts w:ascii="仿宋" w:eastAsia="仿宋" w:hAnsi="仿宋" w:cs="仿宋" w:hint="eastAsia"/>
          <w:sz w:val="32"/>
          <w:szCs w:val="32"/>
        </w:rPr>
        <w:t>机制</w:t>
      </w:r>
      <w:r>
        <w:rPr>
          <w:rFonts w:ascii="仿宋" w:eastAsia="仿宋" w:hAnsi="仿宋" w:cs="仿宋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人</w:t>
      </w:r>
      <w:r>
        <w:rPr>
          <w:rFonts w:ascii="仿宋" w:eastAsia="仿宋" w:hAnsi="仿宋" w:cs="仿宋"/>
          <w:sz w:val="32"/>
          <w:szCs w:val="32"/>
        </w:rPr>
        <w:t>才队伍、</w:t>
      </w:r>
      <w:r>
        <w:rPr>
          <w:rFonts w:ascii="仿宋" w:eastAsia="仿宋" w:hAnsi="仿宋" w:cs="仿宋" w:hint="eastAsia"/>
          <w:sz w:val="32"/>
          <w:szCs w:val="32"/>
        </w:rPr>
        <w:t>宣传</w:t>
      </w:r>
      <w:r>
        <w:rPr>
          <w:rFonts w:ascii="仿宋" w:eastAsia="仿宋" w:hAnsi="仿宋" w:cs="仿宋"/>
          <w:sz w:val="32"/>
          <w:szCs w:val="32"/>
        </w:rPr>
        <w:t>阵地、</w:t>
      </w:r>
      <w:r>
        <w:rPr>
          <w:rFonts w:ascii="仿宋" w:eastAsia="仿宋" w:hAnsi="仿宋" w:cs="仿宋" w:hint="eastAsia"/>
          <w:sz w:val="32"/>
          <w:szCs w:val="32"/>
        </w:rPr>
        <w:t>社</w:t>
      </w:r>
      <w:r>
        <w:rPr>
          <w:rFonts w:ascii="仿宋" w:eastAsia="仿宋" w:hAnsi="仿宋" w:cs="仿宋"/>
          <w:sz w:val="32"/>
          <w:szCs w:val="32"/>
        </w:rPr>
        <w:t>会资源、文化</w:t>
      </w:r>
      <w:r>
        <w:rPr>
          <w:rFonts w:ascii="仿宋" w:eastAsia="仿宋" w:hAnsi="仿宋" w:cs="仿宋" w:hint="eastAsia"/>
          <w:sz w:val="32"/>
          <w:szCs w:val="32"/>
        </w:rPr>
        <w:t>建设</w:t>
      </w:r>
      <w:r>
        <w:rPr>
          <w:rFonts w:ascii="仿宋" w:eastAsia="仿宋" w:hAnsi="仿宋" w:cs="仿宋"/>
          <w:sz w:val="32"/>
          <w:szCs w:val="32"/>
        </w:rPr>
        <w:t>、普法教材等六个方面</w:t>
      </w:r>
      <w:r>
        <w:rPr>
          <w:rFonts w:ascii="仿宋" w:eastAsia="仿宋" w:hAnsi="仿宋" w:cs="仿宋" w:hint="eastAsia"/>
          <w:sz w:val="32"/>
          <w:szCs w:val="32"/>
        </w:rPr>
        <w:t>发</w:t>
      </w:r>
      <w:r>
        <w:rPr>
          <w:rFonts w:ascii="仿宋" w:eastAsia="仿宋" w:hAnsi="仿宋" w:cs="仿宋"/>
          <w:sz w:val="32"/>
          <w:szCs w:val="32"/>
        </w:rPr>
        <w:t>力，</w:t>
      </w:r>
      <w:r>
        <w:rPr>
          <w:rFonts w:ascii="仿宋" w:eastAsia="仿宋" w:hAnsi="仿宋" w:cs="仿宋" w:hint="eastAsia"/>
          <w:sz w:val="32"/>
          <w:szCs w:val="32"/>
        </w:rPr>
        <w:t>实施</w:t>
      </w:r>
      <w:r>
        <w:rPr>
          <w:rFonts w:ascii="仿宋" w:eastAsia="仿宋" w:hAnsi="仿宋" w:cs="仿宋"/>
          <w:sz w:val="32"/>
          <w:szCs w:val="32"/>
        </w:rPr>
        <w:t>好</w:t>
      </w:r>
      <w:r>
        <w:rPr>
          <w:rFonts w:ascii="仿宋" w:eastAsia="仿宋" w:hAnsi="仿宋" w:cs="仿宋"/>
          <w:sz w:val="32"/>
          <w:szCs w:val="32"/>
        </w:rPr>
        <w:t>“</w:t>
      </w:r>
      <w:r>
        <w:rPr>
          <w:rFonts w:ascii="仿宋" w:eastAsia="仿宋" w:hAnsi="仿宋" w:cs="仿宋" w:hint="eastAsia"/>
          <w:sz w:val="32"/>
          <w:szCs w:val="32"/>
        </w:rPr>
        <w:t>农村学法用法示范户</w:t>
      </w:r>
      <w:r>
        <w:rPr>
          <w:rFonts w:ascii="仿宋" w:eastAsia="仿宋" w:hAnsi="仿宋" w:cs="仿宋"/>
          <w:sz w:val="32"/>
          <w:szCs w:val="32"/>
        </w:rPr>
        <w:t>”</w:t>
      </w:r>
      <w:r>
        <w:rPr>
          <w:rFonts w:ascii="仿宋" w:eastAsia="仿宋" w:hAnsi="仿宋" w:cs="仿宋" w:hint="eastAsia"/>
          <w:sz w:val="32"/>
          <w:szCs w:val="32"/>
        </w:rPr>
        <w:t>培育工程，召开</w:t>
      </w:r>
      <w:r>
        <w:rPr>
          <w:rFonts w:ascii="仿宋" w:eastAsia="仿宋" w:hAnsi="仿宋" w:cs="仿宋"/>
          <w:sz w:val="32"/>
          <w:szCs w:val="32"/>
        </w:rPr>
        <w:t>各级</w:t>
      </w:r>
      <w:r>
        <w:rPr>
          <w:rFonts w:ascii="仿宋" w:eastAsia="仿宋" w:hAnsi="仿宋" w:cs="仿宋" w:hint="eastAsia"/>
          <w:sz w:val="32"/>
          <w:szCs w:val="32"/>
        </w:rPr>
        <w:t>普</w:t>
      </w:r>
      <w:r>
        <w:rPr>
          <w:rFonts w:ascii="仿宋" w:eastAsia="仿宋" w:hAnsi="仿宋" w:cs="仿宋"/>
          <w:sz w:val="32"/>
          <w:szCs w:val="32"/>
        </w:rPr>
        <w:t>法工作</w:t>
      </w:r>
      <w:r>
        <w:rPr>
          <w:rFonts w:ascii="仿宋" w:eastAsia="仿宋" w:hAnsi="仿宋" w:cs="仿宋" w:hint="eastAsia"/>
          <w:sz w:val="32"/>
          <w:szCs w:val="32"/>
        </w:rPr>
        <w:t>推进会，组织</w:t>
      </w:r>
      <w:r>
        <w:rPr>
          <w:rFonts w:ascii="仿宋" w:eastAsia="仿宋" w:hAnsi="仿宋" w:cs="仿宋"/>
          <w:sz w:val="32"/>
          <w:szCs w:val="32"/>
        </w:rPr>
        <w:t>好各类活动，</w:t>
      </w:r>
      <w:r>
        <w:rPr>
          <w:rFonts w:ascii="仿宋" w:eastAsia="仿宋" w:hAnsi="仿宋" w:cs="仿宋" w:hint="eastAsia"/>
          <w:sz w:val="32"/>
          <w:szCs w:val="32"/>
        </w:rPr>
        <w:t>不断提升</w:t>
      </w:r>
      <w:r>
        <w:rPr>
          <w:rFonts w:ascii="仿宋" w:eastAsia="仿宋" w:hAnsi="仿宋" w:cs="仿宋"/>
          <w:sz w:val="32"/>
          <w:szCs w:val="32"/>
        </w:rPr>
        <w:t>我市</w:t>
      </w:r>
      <w:r>
        <w:rPr>
          <w:rFonts w:ascii="仿宋" w:eastAsia="仿宋" w:hAnsi="仿宋" w:cs="仿宋" w:hint="eastAsia"/>
          <w:sz w:val="32"/>
          <w:szCs w:val="32"/>
        </w:rPr>
        <w:t>农业农村法治宣传教育工作的</w:t>
      </w:r>
      <w:r>
        <w:rPr>
          <w:rFonts w:ascii="仿宋" w:eastAsia="仿宋" w:hAnsi="仿宋" w:cs="仿宋"/>
          <w:sz w:val="32"/>
          <w:szCs w:val="32"/>
        </w:rPr>
        <w:t>成效。</w:t>
      </w:r>
    </w:p>
    <w:p w14:paraId="509BC7DC" w14:textId="77777777" w:rsidR="001A12F4" w:rsidRDefault="001A12F4" w:rsidP="002D3DA3">
      <w:pPr>
        <w:adjustRightInd w:val="0"/>
        <w:snapToGrid w:val="0"/>
        <w:spacing w:line="560" w:lineRule="exact"/>
        <w:rPr>
          <w:rFonts w:ascii="仿宋" w:eastAsia="仿宋" w:hAnsi="仿宋" w:cs="仿宋"/>
          <w:sz w:val="32"/>
          <w:szCs w:val="32"/>
        </w:rPr>
      </w:pPr>
    </w:p>
    <w:p w14:paraId="034F21C9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                             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常熟市农业农村局</w:t>
      </w:r>
    </w:p>
    <w:p w14:paraId="0DCFCDDA" w14:textId="77777777" w:rsidR="001A12F4" w:rsidRDefault="002D3DA3" w:rsidP="002D3DA3">
      <w:pPr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                             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30</w:t>
      </w:r>
      <w:r>
        <w:rPr>
          <w:rFonts w:ascii="Times New Roman" w:eastAsia="仿宋" w:hAnsi="Times New Roman" w:cs="Times New Roman" w:hint="eastAsia"/>
          <w:color w:val="000000" w:themeColor="text1"/>
          <w:sz w:val="32"/>
          <w:szCs w:val="32"/>
        </w:rPr>
        <w:t>日</w:t>
      </w:r>
    </w:p>
    <w:p w14:paraId="7818CFA7" w14:textId="77777777" w:rsidR="001A12F4" w:rsidRDefault="001A12F4" w:rsidP="002D3DA3">
      <w:pPr>
        <w:adjustRightInd w:val="0"/>
        <w:snapToGrid w:val="0"/>
        <w:spacing w:line="560" w:lineRule="exact"/>
        <w:jc w:val="left"/>
        <w:rPr>
          <w:rFonts w:ascii="仿宋" w:eastAsia="仿宋" w:hAnsi="仿宋" w:cs="仿宋"/>
          <w:color w:val="000000"/>
          <w:sz w:val="32"/>
          <w:szCs w:val="32"/>
        </w:rPr>
      </w:pPr>
    </w:p>
    <w:p w14:paraId="6AE337FF" w14:textId="77777777" w:rsidR="001A12F4" w:rsidRDefault="001A12F4" w:rsidP="002D3DA3">
      <w:pPr>
        <w:adjustRightInd w:val="0"/>
        <w:snapToGrid w:val="0"/>
        <w:spacing w:line="560" w:lineRule="exact"/>
        <w:jc w:val="left"/>
        <w:rPr>
          <w:rFonts w:ascii="仿宋" w:eastAsia="仿宋" w:hAnsi="仿宋" w:cs="仿宋"/>
          <w:color w:val="000000"/>
          <w:sz w:val="32"/>
          <w:szCs w:val="32"/>
        </w:rPr>
      </w:pPr>
    </w:p>
    <w:p w14:paraId="29E81511" w14:textId="77777777" w:rsidR="001A12F4" w:rsidRDefault="002D3DA3" w:rsidP="002D3DA3">
      <w:pPr>
        <w:adjustRightInd w:val="0"/>
        <w:snapToGrid w:val="0"/>
        <w:spacing w:line="560" w:lineRule="exact"/>
        <w:jc w:val="left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  <w:r>
        <w:rPr>
          <w:rFonts w:ascii="仿宋" w:eastAsia="仿宋" w:hAnsi="仿宋" w:cs="仿宋"/>
          <w:color w:val="000000"/>
          <w:sz w:val="32"/>
          <w:szCs w:val="32"/>
        </w:rPr>
        <w:t>抄送：中共常熟市委全面依法治市委员会办公室</w:t>
      </w:r>
    </w:p>
    <w:sectPr w:rsidR="001A12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简老宋">
    <w:altName w:val="宋体"/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886E"/>
    <w:multiLevelType w:val="singleLevel"/>
    <w:tmpl w:val="2CAF886E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51740CE"/>
    <w:multiLevelType w:val="hybridMultilevel"/>
    <w:tmpl w:val="C3AE68DC"/>
    <w:lvl w:ilvl="0" w:tplc="8640E1E6">
      <w:start w:val="5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FhNzcwNWQ4YTMxYWZjZmE5NDI0NGQ2ZTk4NjhhMjAifQ=="/>
  </w:docVars>
  <w:rsids>
    <w:rsidRoot w:val="7ED80903"/>
    <w:rsid w:val="001A12F4"/>
    <w:rsid w:val="00201459"/>
    <w:rsid w:val="002D3DA3"/>
    <w:rsid w:val="002E5020"/>
    <w:rsid w:val="00343D1C"/>
    <w:rsid w:val="003833F6"/>
    <w:rsid w:val="004A1DD5"/>
    <w:rsid w:val="005E78BF"/>
    <w:rsid w:val="006D22A2"/>
    <w:rsid w:val="00733B38"/>
    <w:rsid w:val="00746D74"/>
    <w:rsid w:val="00975FA1"/>
    <w:rsid w:val="00A708CF"/>
    <w:rsid w:val="00E85882"/>
    <w:rsid w:val="03B112B7"/>
    <w:rsid w:val="12AA588C"/>
    <w:rsid w:val="13773AFC"/>
    <w:rsid w:val="170E22CB"/>
    <w:rsid w:val="19AD06BB"/>
    <w:rsid w:val="1B2A3F5D"/>
    <w:rsid w:val="1C686117"/>
    <w:rsid w:val="1CAE1DC5"/>
    <w:rsid w:val="1E9A3D49"/>
    <w:rsid w:val="20332F55"/>
    <w:rsid w:val="2CD863DC"/>
    <w:rsid w:val="2E612E34"/>
    <w:rsid w:val="354B1430"/>
    <w:rsid w:val="44D26E8E"/>
    <w:rsid w:val="4B85475B"/>
    <w:rsid w:val="4C120332"/>
    <w:rsid w:val="4DB4359A"/>
    <w:rsid w:val="53AB05A5"/>
    <w:rsid w:val="5543440A"/>
    <w:rsid w:val="60AC395B"/>
    <w:rsid w:val="62564054"/>
    <w:rsid w:val="705D24A0"/>
    <w:rsid w:val="7ED80903"/>
    <w:rsid w:val="7FC8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A948D4"/>
  <w15:docId w15:val="{4D1907AC-F303-494B-B01F-4A31CCAD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autoRedefine/>
    <w:qFormat/>
    <w:pPr>
      <w:jc w:val="left"/>
    </w:pPr>
  </w:style>
  <w:style w:type="paragraph" w:styleId="a4">
    <w:name w:val="List Paragraph"/>
    <w:basedOn w:val="a"/>
    <w:uiPriority w:val="99"/>
    <w:rsid w:val="002D3DA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583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夏日的回眸</dc:creator>
  <cp:lastModifiedBy>Administrator</cp:lastModifiedBy>
  <cp:revision>6</cp:revision>
  <cp:lastPrinted>2021-12-01T06:52:00Z</cp:lastPrinted>
  <dcterms:created xsi:type="dcterms:W3CDTF">2020-11-02T02:47:00Z</dcterms:created>
  <dcterms:modified xsi:type="dcterms:W3CDTF">2024-04-01T02:39:00Z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6328422FAAB2437C84ED8555DFC9A8FD_13</vt:lpwstr>
  </property>
</Properties>
</file>