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828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宋体" w:eastAsia="方正小标宋_GBK" w:cs="宋体"/>
          <w:sz w:val="44"/>
          <w:szCs w:val="44"/>
        </w:rPr>
      </w:pPr>
      <w:r>
        <w:rPr>
          <w:rFonts w:hint="eastAsia" w:ascii="方正小标宋_GBK" w:hAnsi="宋体" w:eastAsia="方正小标宋_GBK" w:cs="宋体"/>
          <w:sz w:val="44"/>
          <w:szCs w:val="44"/>
        </w:rPr>
        <w:t>常熟市统计局</w:t>
      </w:r>
      <w:r>
        <w:rPr>
          <w:rFonts w:hint="eastAsia" w:ascii="方正小标宋_GBK" w:hAnsi="宋体" w:eastAsia="方正小标宋_GBK" w:cs="宋体"/>
          <w:sz w:val="44"/>
          <w:szCs w:val="44"/>
          <w:lang w:eastAsia="zh-CN"/>
        </w:rPr>
        <w:t>202</w:t>
      </w:r>
      <w:r>
        <w:rPr>
          <w:rFonts w:hint="eastAsia" w:ascii="方正小标宋_GBK" w:hAnsi="宋体" w:eastAsia="方正小标宋_GBK" w:cs="宋体"/>
          <w:sz w:val="44"/>
          <w:szCs w:val="44"/>
          <w:lang w:val="en-US" w:eastAsia="zh-CN"/>
        </w:rPr>
        <w:t>4</w:t>
      </w:r>
      <w:r>
        <w:rPr>
          <w:rFonts w:hint="eastAsia" w:ascii="方正小标宋_GBK" w:hAnsi="宋体" w:eastAsia="方正小标宋_GBK" w:cs="宋体"/>
          <w:sz w:val="44"/>
          <w:szCs w:val="44"/>
        </w:rPr>
        <w:t>年政府信息</w:t>
      </w:r>
    </w:p>
    <w:p w14:paraId="1E502F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方正小标宋_GBK" w:eastAsia="方正小标宋_GBK" w:cs="宋体"/>
          <w:sz w:val="44"/>
          <w:szCs w:val="44"/>
        </w:rPr>
      </w:pPr>
      <w:r>
        <w:rPr>
          <w:rFonts w:hint="eastAsia" w:ascii="方正小标宋_GBK" w:hAnsi="宋体" w:eastAsia="方正小标宋_GBK" w:cs="宋体"/>
          <w:sz w:val="44"/>
          <w:szCs w:val="44"/>
        </w:rPr>
        <w:t>公开工作年度报告</w:t>
      </w:r>
    </w:p>
    <w:p w14:paraId="3E217A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eastAsia="zh-CN"/>
        </w:rPr>
      </w:pPr>
    </w:p>
    <w:p w14:paraId="25CD92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根据《中华人民共和国政府信息公开条例》规定，现公布常熟市统计局202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年政府信息公开工作年度报告。本年报所列数据的统计期限自202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年1月1日起至202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年12月31日止。</w:t>
      </w:r>
    </w:p>
    <w:p w14:paraId="5ABA7D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 w14:paraId="1975CC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2024年，市统计局坚持以习近平新时代中国特色社会主义思想为指引，认真贯彻落实《中华人民共和国政府信息公开条例》，不断扩大公开范围、规范公开内容、增强公开实效、着力提升统计服务能力和政府统计公信力，展示统计工作良好形象。现结合</w:t>
      </w:r>
      <w:r>
        <w:rPr>
          <w:rFonts w:hint="eastAsia" w:ascii="仿宋_GB2312" w:hAnsi="仿宋" w:eastAsia="仿宋_GB2312" w:cs="仿宋"/>
          <w:sz w:val="32"/>
          <w:szCs w:val="32"/>
          <w:highlight w:val="none"/>
          <w:lang w:eastAsia="zh-CN"/>
        </w:rPr>
        <w:t>我局实际，将总体情况报告如下：</w:t>
      </w:r>
    </w:p>
    <w:p w14:paraId="29F8DF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/>
        </w:rPr>
        <w:t>（一）主动公开情况。2024年，市统计局积极主动向社会公众公开统计部门信息。全年在“常熟市人民政府网站”累计公布各类信息共69篇（不重复计算），其中：统计信息49篇，其他信息20篇</w:t>
      </w:r>
    </w:p>
    <w:p w14:paraId="2FED87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/>
        </w:rPr>
        <w:t>（二）依申请公开情况。2024年，新收到政府信息依申请公开12件。均在规定期限内按规定答复，无超期、未告知等现象，无行政复议、行政诉讼案件。</w:t>
      </w:r>
    </w:p>
    <w:p w14:paraId="0A46AB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（三）政府信息管理情况。强化对外发布稿件审核，确保内容准确、要素齐备、描述妥当。严格履行政府信息公开审批程序，持续强化公开信息内容管理，健全信息采集、审核、发布、更新机制，切实加强公开信息审核把关，同时做好动态信息更新维护工作，保证公开信息时效和质量，方便公众查询使用。</w:t>
      </w:r>
    </w:p>
    <w:p w14:paraId="24EEB3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（四）平台建设情况。根据常政办发〔2024〕69号《常熟市政务新媒体精简提质工作方案》文件要求，本年关停“常熟统计”微信订阅号。</w:t>
      </w:r>
    </w:p>
    <w:p w14:paraId="026BA0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（五）监督保障情况。持续优化考评体系，将信息工作纳入对全体干部职工的年度考核，明确信息工作考核目标任务，每月进行汇总整理，每季度进行考核打分，全面提升机关工作效能和工作实绩。</w:t>
      </w:r>
    </w:p>
    <w:p w14:paraId="50FDD17E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43FE2FE3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4C8627AE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6649D3E5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559C0667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689DEBC3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4FF3DE81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47D2E56F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2F6BF43F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1EEAAF91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2C99EE70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370C2591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074B634E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15EB6F73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18E8D9F9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71369612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二、主动公开政府信息情况</w:t>
      </w:r>
    </w:p>
    <w:tbl>
      <w:tblPr>
        <w:tblStyle w:val="5"/>
        <w:tblW w:w="952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39"/>
        <w:gridCol w:w="2055"/>
        <w:gridCol w:w="1878"/>
        <w:gridCol w:w="2550"/>
      </w:tblGrid>
      <w:tr w14:paraId="0BD51B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79EDE92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第二十条第（一）项</w:t>
            </w:r>
          </w:p>
        </w:tc>
      </w:tr>
      <w:tr w14:paraId="10FE8A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7156F50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信息内容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6B137A2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本年制发件数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75EDD03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本年废止件数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62F4988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现行有效件数</w:t>
            </w:r>
          </w:p>
        </w:tc>
      </w:tr>
      <w:tr w14:paraId="205154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27D0296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规章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77C6192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4D297EF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3FC0DBA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695B44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12679B1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规范性文件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3F105F4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609FEA3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7A90493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17C1A4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527D225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第二十条第（五）项</w:t>
            </w:r>
          </w:p>
        </w:tc>
      </w:tr>
      <w:tr w14:paraId="53F0E7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2998A2F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信息内容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79501D9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本年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处理决定数量</w:t>
            </w:r>
          </w:p>
        </w:tc>
      </w:tr>
      <w:tr w14:paraId="0CDE7D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21EA828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行政许可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6761533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71FFB0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21B3A25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第二十条第（六）项</w:t>
            </w:r>
          </w:p>
        </w:tc>
      </w:tr>
      <w:tr w14:paraId="1F76C4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75E0E95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信息内容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7C34D0B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本年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处理决定数量</w:t>
            </w:r>
          </w:p>
        </w:tc>
      </w:tr>
      <w:tr w14:paraId="4D593B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6316752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行政处罚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268080F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688881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2282A14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行政强制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0C2123A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2B1785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43CFD6D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第二十条（八）项</w:t>
            </w:r>
          </w:p>
        </w:tc>
      </w:tr>
      <w:tr w14:paraId="0C973F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49F4184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信息内容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51C126F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本年收费金额（单位：万元）</w:t>
            </w:r>
          </w:p>
        </w:tc>
      </w:tr>
      <w:tr w14:paraId="03D659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1CFA747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行政事业性收费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19BA946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</w:tbl>
    <w:p w14:paraId="3E707953">
      <w:pPr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br w:type="page"/>
      </w:r>
    </w:p>
    <w:p w14:paraId="58DA25C4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 </w:t>
      </w:r>
      <w:r>
        <w:rPr>
          <w:rFonts w:hint="eastAsia" w:ascii="黑体" w:hAnsi="黑体" w:eastAsia="黑体" w:cs="黑体"/>
          <w:sz w:val="32"/>
          <w:szCs w:val="32"/>
        </w:rPr>
        <w:t>三、收到和处理政府信息公开申请情况</w:t>
      </w:r>
    </w:p>
    <w:tbl>
      <w:tblPr>
        <w:tblStyle w:val="5"/>
        <w:tblW w:w="959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8"/>
        <w:gridCol w:w="1613"/>
        <w:gridCol w:w="3071"/>
        <w:gridCol w:w="786"/>
        <w:gridCol w:w="684"/>
        <w:gridCol w:w="513"/>
        <w:gridCol w:w="602"/>
        <w:gridCol w:w="566"/>
        <w:gridCol w:w="566"/>
        <w:gridCol w:w="540"/>
      </w:tblGrid>
      <w:tr w14:paraId="6D9A38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restart"/>
            <w:shd w:val="clear" w:color="auto" w:fill="FFFFFF"/>
            <w:vAlign w:val="center"/>
          </w:tcPr>
          <w:p w14:paraId="7F2004B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（本列数据的勾稽关系为：第一项加第二项之和，等于第三项加第四项之和）</w:t>
            </w:r>
          </w:p>
        </w:tc>
        <w:tc>
          <w:tcPr>
            <w:tcW w:w="4257" w:type="dxa"/>
            <w:gridSpan w:val="7"/>
            <w:shd w:val="clear" w:color="auto" w:fill="FFFFFF"/>
            <w:vAlign w:val="center"/>
          </w:tcPr>
          <w:p w14:paraId="7F3A548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申请人情况</w:t>
            </w:r>
          </w:p>
        </w:tc>
      </w:tr>
      <w:tr w14:paraId="1E34FC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continue"/>
            <w:shd w:val="clear" w:color="auto" w:fill="FFFFFF"/>
            <w:vAlign w:val="center"/>
          </w:tcPr>
          <w:p w14:paraId="1A3AA05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6" w:type="dxa"/>
            <w:vMerge w:val="restart"/>
            <w:shd w:val="clear" w:color="auto" w:fill="FFFFFF"/>
            <w:vAlign w:val="center"/>
          </w:tcPr>
          <w:p w14:paraId="6D9D8DE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自然人</w:t>
            </w:r>
          </w:p>
        </w:tc>
        <w:tc>
          <w:tcPr>
            <w:tcW w:w="2931" w:type="dxa"/>
            <w:gridSpan w:val="5"/>
            <w:shd w:val="clear" w:color="auto" w:fill="FFFFFF"/>
            <w:vAlign w:val="center"/>
          </w:tcPr>
          <w:p w14:paraId="147B143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法人或其他组织</w:t>
            </w:r>
          </w:p>
        </w:tc>
        <w:tc>
          <w:tcPr>
            <w:tcW w:w="540" w:type="dxa"/>
            <w:vMerge w:val="restart"/>
            <w:shd w:val="clear" w:color="auto" w:fill="FFFFFF"/>
            <w:vAlign w:val="center"/>
          </w:tcPr>
          <w:p w14:paraId="482B117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总计</w:t>
            </w:r>
          </w:p>
        </w:tc>
      </w:tr>
      <w:tr w14:paraId="065743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continue"/>
            <w:shd w:val="clear" w:color="auto" w:fill="FFFFFF"/>
            <w:vAlign w:val="center"/>
          </w:tcPr>
          <w:p w14:paraId="17EB228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6" w:type="dxa"/>
            <w:vMerge w:val="continue"/>
            <w:shd w:val="clear" w:color="auto" w:fill="FFFFFF"/>
            <w:vAlign w:val="center"/>
          </w:tcPr>
          <w:p w14:paraId="609E2E6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84" w:type="dxa"/>
            <w:shd w:val="clear" w:color="auto" w:fill="FFFFFF"/>
            <w:vAlign w:val="center"/>
          </w:tcPr>
          <w:p w14:paraId="43C4380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商业企业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714FF50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科研机构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74930F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社会公益组织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9E311C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法律服务机构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61C0DD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</w:t>
            </w:r>
          </w:p>
        </w:tc>
        <w:tc>
          <w:tcPr>
            <w:tcW w:w="540" w:type="dxa"/>
            <w:vMerge w:val="continue"/>
            <w:shd w:val="clear" w:color="auto" w:fill="FFFFFF"/>
            <w:vAlign w:val="center"/>
          </w:tcPr>
          <w:p w14:paraId="7337675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43B1F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 w14:paraId="117C9F83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一、本年新收政府信息公开申请数量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9072755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12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5DAC139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7E8AD23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56B890B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44D2A9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7A1009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1B2E4AE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12</w:t>
            </w:r>
          </w:p>
        </w:tc>
      </w:tr>
      <w:tr w14:paraId="3B7BDB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 w14:paraId="5B85E095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二、上年结转政府信息公开申请数量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550154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02BBD53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7B5F38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97B422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168CFB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2BBDC7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11A14DE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4A8F7C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restart"/>
            <w:shd w:val="clear" w:color="auto" w:fill="FFFFFF"/>
            <w:vAlign w:val="center"/>
          </w:tcPr>
          <w:p w14:paraId="5796197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三</w:t>
            </w:r>
          </w:p>
          <w:p w14:paraId="7A6F883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、</w:t>
            </w:r>
          </w:p>
          <w:p w14:paraId="658F833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</w:t>
            </w:r>
          </w:p>
          <w:p w14:paraId="4A0750F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年</w:t>
            </w:r>
          </w:p>
          <w:p w14:paraId="4CC2706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度</w:t>
            </w:r>
          </w:p>
          <w:p w14:paraId="46AE182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办</w:t>
            </w:r>
          </w:p>
          <w:p w14:paraId="69969B9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理</w:t>
            </w:r>
          </w:p>
          <w:p w14:paraId="7034663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</w:t>
            </w:r>
          </w:p>
          <w:p w14:paraId="54C96B4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果</w:t>
            </w: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6FBB23BD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（一）予以公开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EB8773A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8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1873DC1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02D9EFB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38E96BF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382ED6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27C836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3787562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8</w:t>
            </w:r>
          </w:p>
        </w:tc>
      </w:tr>
      <w:tr w14:paraId="4D8C79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E683B4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7233B38E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（二）部分公开（区分处理的，只认这一情形，不计其他情形）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7FBA570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4B34672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121DA5B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8E375C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87349B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52A1EB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47F26DE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7AC331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9C696B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 w14:paraId="7C94CCC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（三）不予公开</w:t>
            </w:r>
          </w:p>
        </w:tc>
        <w:tc>
          <w:tcPr>
            <w:tcW w:w="3071" w:type="dxa"/>
            <w:shd w:val="clear" w:color="auto" w:fill="FFFFFF"/>
            <w:vAlign w:val="center"/>
          </w:tcPr>
          <w:p w14:paraId="3E270A73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1.属于国家秘密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3D0D712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1723D87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0501468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10A526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14C17A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8F6C5F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15B5A88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72B8A6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2602E5E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1AFDAFE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66C9DDBD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2.其他法律行政法规禁止公开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1C4D10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52A6053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18E6503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781DA7F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AE622A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54BE26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3874FD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1</w:t>
            </w:r>
          </w:p>
        </w:tc>
      </w:tr>
      <w:tr w14:paraId="25672A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8C905F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7FD688C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4437951C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3.危及“三安全一稳定”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1B07B5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79763DE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3EEC040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3120811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7325E1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6B79E7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852F9E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6226D4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DE6A2C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4D845B7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5E4CDA2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4.保护第三方合法权益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0C3BCF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1D6E129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1FE65B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5181C1D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737F55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0B6B95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DD8A24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624891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65EF5D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05128F7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74636FF6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5.属于三类内部事务信息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BAB52D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13B5D4C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9FD1F3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309678C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D1DC4B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0673A7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6290D1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293C78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712E9D8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49FFB33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06CCC0FC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6.属于四类过程性信息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ADE5AB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056601A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0EBBEB8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0A33965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959804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F3B6E6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637336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264FD9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1994F7E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31DC9F6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37810C00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7.属于行政执法案卷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7F37F39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4183F1D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0707AC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7B6C9EA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C794E1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BC19D9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2176A1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5C47E9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68DE33A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5E07D3A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55ED894E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8.属于行政查询事项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4B61BB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56FCA7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A58D0E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6E4960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4C6E86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1CB8C1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DB2B56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5F3C96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552B83B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 w14:paraId="476C7D0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（四）无法提供</w:t>
            </w:r>
          </w:p>
        </w:tc>
        <w:tc>
          <w:tcPr>
            <w:tcW w:w="3071" w:type="dxa"/>
            <w:shd w:val="clear" w:color="auto" w:fill="FFFFFF"/>
            <w:vAlign w:val="center"/>
          </w:tcPr>
          <w:p w14:paraId="25AB2025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1.本机关不掌握相关政府信息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77D000F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44E5A6C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1573A4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0439E1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4CB9C0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5AB2AD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18555F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0</w:t>
            </w:r>
          </w:p>
        </w:tc>
      </w:tr>
      <w:tr w14:paraId="499442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7BDE74F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02DB401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5C7AEC80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2.没有现成信息需要另行制作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6E01D90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5AC1C88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530B485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2E081B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DAE835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F6B29E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800BDF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3C5F84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6E28DD7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110CD84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07FC63AF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3.补正后申请内容仍不明确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42A01D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0F637B6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48BFD6C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0518CD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5BD0F6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1178E0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74AF52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34E4B9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4864BA5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 w14:paraId="4BDAE57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（五）不予处理</w:t>
            </w:r>
          </w:p>
        </w:tc>
        <w:tc>
          <w:tcPr>
            <w:tcW w:w="3071" w:type="dxa"/>
            <w:shd w:val="clear" w:color="auto" w:fill="FFFFFF"/>
            <w:vAlign w:val="center"/>
          </w:tcPr>
          <w:p w14:paraId="6F2FEB27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1.信访举报投诉类申请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094023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2F17B9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5429FE5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3E22AF7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D8E631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58EECF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D27E54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7C12EE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842E69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1F1C212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13B2F24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2.重复申请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77C1B99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B72F31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47F787B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7FA851B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168679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502CD5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395B8C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3</w:t>
            </w:r>
          </w:p>
        </w:tc>
      </w:tr>
      <w:tr w14:paraId="3ADFC5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20BE294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1700876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3B9985A5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3.要求提供公开出版物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EE2EC6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48BE517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2B17BA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743717A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EB4CD1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C5A719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2C8B42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6CE644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204D7AE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7F3E6C3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089AD9A1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4.无正当理由大量反复申请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0444AA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5886F1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44A3896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962886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913BEC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13B15C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43064C6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4D0798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46296A5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7D06E97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7635599F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5.要求行政机关确认或重新出具已获取信息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6C8EE43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18D4765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00D92AE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3293F93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7A0118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1B87EE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A63742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11BC28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11A188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3FC76012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（六）其他处理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3990E0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573C02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67D42F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797DB48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F8EA29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C780AF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4B7EB2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218C6A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18514CF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484A44AB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（七）总计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72DD3B5A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12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7E62397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4810BEC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3B283E9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3493FF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55A144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4B909ED4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12</w:t>
            </w:r>
          </w:p>
        </w:tc>
      </w:tr>
      <w:tr w14:paraId="141B26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 w14:paraId="0B998F21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四、结转下年度继续办理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6740BE0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B4B695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7C62F7A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9D96EB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222DD6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8C0EB3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5171DE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</w:tbl>
    <w:p w14:paraId="59DE645D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 w14:paraId="2C40D8D6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四、政府信息公开行政复议、行政诉讼情况</w:t>
      </w:r>
    </w:p>
    <w:tbl>
      <w:tblPr>
        <w:tblStyle w:val="5"/>
        <w:tblW w:w="958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9"/>
        <w:gridCol w:w="700"/>
        <w:gridCol w:w="652"/>
        <w:gridCol w:w="583"/>
        <w:gridCol w:w="632"/>
        <w:gridCol w:w="651"/>
        <w:gridCol w:w="634"/>
        <w:gridCol w:w="600"/>
        <w:gridCol w:w="666"/>
        <w:gridCol w:w="700"/>
        <w:gridCol w:w="650"/>
        <w:gridCol w:w="667"/>
        <w:gridCol w:w="550"/>
        <w:gridCol w:w="583"/>
        <w:gridCol w:w="650"/>
      </w:tblGrid>
      <w:tr w14:paraId="1436B2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3236" w:type="dxa"/>
            <w:gridSpan w:val="5"/>
            <w:shd w:val="clear" w:color="auto" w:fill="FFFFFF"/>
            <w:vAlign w:val="center"/>
          </w:tcPr>
          <w:p w14:paraId="14A69EB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行政复议</w:t>
            </w:r>
          </w:p>
        </w:tc>
        <w:tc>
          <w:tcPr>
            <w:tcW w:w="6351" w:type="dxa"/>
            <w:gridSpan w:val="10"/>
            <w:shd w:val="clear" w:color="auto" w:fill="FFFFFF"/>
            <w:vAlign w:val="center"/>
          </w:tcPr>
          <w:p w14:paraId="3CA3983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行政诉讼</w:t>
            </w:r>
          </w:p>
        </w:tc>
      </w:tr>
      <w:tr w14:paraId="509A6E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669" w:type="dxa"/>
            <w:vMerge w:val="restart"/>
            <w:shd w:val="clear" w:color="auto" w:fill="FFFFFF"/>
            <w:vAlign w:val="center"/>
          </w:tcPr>
          <w:p w14:paraId="795C71D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700" w:type="dxa"/>
            <w:vMerge w:val="restart"/>
            <w:shd w:val="clear" w:color="auto" w:fill="FFFFFF"/>
            <w:vAlign w:val="center"/>
          </w:tcPr>
          <w:p w14:paraId="4DC44E1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652" w:type="dxa"/>
            <w:vMerge w:val="restart"/>
            <w:shd w:val="clear" w:color="auto" w:fill="FFFFFF"/>
            <w:vAlign w:val="center"/>
          </w:tcPr>
          <w:p w14:paraId="26C246E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其他结果</w:t>
            </w:r>
          </w:p>
        </w:tc>
        <w:tc>
          <w:tcPr>
            <w:tcW w:w="583" w:type="dxa"/>
            <w:vMerge w:val="restart"/>
            <w:shd w:val="clear" w:color="auto" w:fill="FFFFFF"/>
            <w:vAlign w:val="center"/>
          </w:tcPr>
          <w:p w14:paraId="7D1F9B2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632" w:type="dxa"/>
            <w:vMerge w:val="restart"/>
            <w:shd w:val="clear" w:color="auto" w:fill="FFFFFF"/>
            <w:vAlign w:val="center"/>
          </w:tcPr>
          <w:p w14:paraId="0E4CECA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总计</w:t>
            </w:r>
          </w:p>
        </w:tc>
        <w:tc>
          <w:tcPr>
            <w:tcW w:w="3251" w:type="dxa"/>
            <w:gridSpan w:val="5"/>
            <w:shd w:val="clear" w:color="auto" w:fill="FFFFFF"/>
            <w:vAlign w:val="center"/>
          </w:tcPr>
          <w:p w14:paraId="53C9E1E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未经复议直接起诉</w:t>
            </w:r>
          </w:p>
        </w:tc>
        <w:tc>
          <w:tcPr>
            <w:tcW w:w="3100" w:type="dxa"/>
            <w:gridSpan w:val="5"/>
            <w:shd w:val="clear" w:color="auto" w:fill="FFFFFF"/>
            <w:vAlign w:val="center"/>
          </w:tcPr>
          <w:p w14:paraId="10C4B3D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复议后起诉</w:t>
            </w:r>
          </w:p>
        </w:tc>
      </w:tr>
      <w:tr w14:paraId="0EEF7D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1" w:hRule="atLeast"/>
          <w:jc w:val="center"/>
        </w:trPr>
        <w:tc>
          <w:tcPr>
            <w:tcW w:w="669" w:type="dxa"/>
            <w:vMerge w:val="continue"/>
            <w:shd w:val="clear" w:color="auto" w:fill="FFFFFF"/>
            <w:vAlign w:val="center"/>
          </w:tcPr>
          <w:p w14:paraId="715D58F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00" w:type="dxa"/>
            <w:vMerge w:val="continue"/>
            <w:shd w:val="clear" w:color="auto" w:fill="FFFFFF"/>
            <w:vAlign w:val="center"/>
          </w:tcPr>
          <w:p w14:paraId="0D5CA0F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52" w:type="dxa"/>
            <w:vMerge w:val="continue"/>
            <w:shd w:val="clear" w:color="auto" w:fill="FFFFFF"/>
            <w:vAlign w:val="center"/>
          </w:tcPr>
          <w:p w14:paraId="7F107C5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83" w:type="dxa"/>
            <w:vMerge w:val="continue"/>
            <w:shd w:val="clear" w:color="auto" w:fill="FFFFFF"/>
            <w:vAlign w:val="center"/>
          </w:tcPr>
          <w:p w14:paraId="2CFCF98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32" w:type="dxa"/>
            <w:vMerge w:val="continue"/>
            <w:shd w:val="clear" w:color="auto" w:fill="FFFFFF"/>
            <w:vAlign w:val="center"/>
          </w:tcPr>
          <w:p w14:paraId="1311891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51" w:type="dxa"/>
            <w:shd w:val="clear" w:color="auto" w:fill="FFFFFF"/>
            <w:vAlign w:val="center"/>
          </w:tcPr>
          <w:p w14:paraId="4E4C9A9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634" w:type="dxa"/>
            <w:shd w:val="clear" w:color="auto" w:fill="FFFFFF"/>
            <w:vAlign w:val="center"/>
          </w:tcPr>
          <w:p w14:paraId="203239C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600" w:type="dxa"/>
            <w:shd w:val="clear" w:color="auto" w:fill="FFFFFF"/>
            <w:vAlign w:val="center"/>
          </w:tcPr>
          <w:p w14:paraId="7F51210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其他结果</w:t>
            </w:r>
          </w:p>
        </w:tc>
        <w:tc>
          <w:tcPr>
            <w:tcW w:w="666" w:type="dxa"/>
            <w:shd w:val="clear" w:color="auto" w:fill="FFFFFF"/>
            <w:vAlign w:val="center"/>
          </w:tcPr>
          <w:p w14:paraId="6621FCA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3546600E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总计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0AF4C49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667" w:type="dxa"/>
            <w:shd w:val="clear" w:color="auto" w:fill="FFFFFF"/>
            <w:vAlign w:val="center"/>
          </w:tcPr>
          <w:p w14:paraId="17CA8D6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550" w:type="dxa"/>
            <w:shd w:val="clear" w:color="auto" w:fill="FFFFFF"/>
            <w:vAlign w:val="center"/>
          </w:tcPr>
          <w:p w14:paraId="6F6A04E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其他结果</w:t>
            </w:r>
          </w:p>
        </w:tc>
        <w:tc>
          <w:tcPr>
            <w:tcW w:w="583" w:type="dxa"/>
            <w:shd w:val="clear" w:color="auto" w:fill="FFFFFF"/>
            <w:vAlign w:val="center"/>
          </w:tcPr>
          <w:p w14:paraId="0B31B12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0DEEA31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总计</w:t>
            </w:r>
          </w:p>
        </w:tc>
      </w:tr>
      <w:tr w14:paraId="3DC82C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8" w:hRule="atLeast"/>
          <w:jc w:val="center"/>
        </w:trPr>
        <w:tc>
          <w:tcPr>
            <w:tcW w:w="669" w:type="dxa"/>
            <w:shd w:val="clear" w:color="auto" w:fill="FFFFFF"/>
            <w:vAlign w:val="center"/>
          </w:tcPr>
          <w:p w14:paraId="3D6FD5E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547D9BD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52" w:type="dxa"/>
            <w:shd w:val="clear" w:color="auto" w:fill="FFFFFF"/>
            <w:vAlign w:val="center"/>
          </w:tcPr>
          <w:p w14:paraId="1E99D7D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83" w:type="dxa"/>
            <w:shd w:val="clear" w:color="auto" w:fill="FFFFFF"/>
            <w:vAlign w:val="center"/>
          </w:tcPr>
          <w:p w14:paraId="311E209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32" w:type="dxa"/>
            <w:shd w:val="clear" w:color="auto" w:fill="FFFFFF"/>
            <w:vAlign w:val="center"/>
          </w:tcPr>
          <w:p w14:paraId="1D0706F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51" w:type="dxa"/>
            <w:shd w:val="clear" w:color="auto" w:fill="FFFFFF"/>
            <w:vAlign w:val="center"/>
          </w:tcPr>
          <w:p w14:paraId="37B93A6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34" w:type="dxa"/>
            <w:shd w:val="clear" w:color="auto" w:fill="FFFFFF"/>
            <w:vAlign w:val="center"/>
          </w:tcPr>
          <w:p w14:paraId="2578339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0" w:type="dxa"/>
            <w:shd w:val="clear" w:color="auto" w:fill="FFFFFF"/>
            <w:vAlign w:val="center"/>
          </w:tcPr>
          <w:p w14:paraId="5E4FA1D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66" w:type="dxa"/>
            <w:shd w:val="clear" w:color="auto" w:fill="FFFFFF"/>
            <w:vAlign w:val="center"/>
          </w:tcPr>
          <w:p w14:paraId="7242A75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2C86781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3380E55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67" w:type="dxa"/>
            <w:shd w:val="clear" w:color="auto" w:fill="FFFFFF"/>
            <w:vAlign w:val="center"/>
          </w:tcPr>
          <w:p w14:paraId="4865A22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50" w:type="dxa"/>
            <w:shd w:val="clear" w:color="auto" w:fill="FFFFFF"/>
            <w:vAlign w:val="center"/>
          </w:tcPr>
          <w:p w14:paraId="53D1BCE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83" w:type="dxa"/>
            <w:shd w:val="clear" w:color="auto" w:fill="FFFFFF"/>
            <w:vAlign w:val="center"/>
          </w:tcPr>
          <w:p w14:paraId="778C5D1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39372D7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</w:tbl>
    <w:p w14:paraId="07767F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五、存在的主要问题及改进情况</w:t>
      </w:r>
    </w:p>
    <w:p w14:paraId="5B3572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sz w:val="32"/>
          <w:szCs w:val="32"/>
        </w:rPr>
        <w:t>年，我局政府信息公开工作虽然取得一定成效，但还存在政府信息公开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较为传统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数据解读形式不够多样等问题。接下来，我局将进一步加强政府信息管理，全方位、多角度宣传解读统计数据，加强重点领域政府信息的采集，提高信息质量，丰富公开内容。</w:t>
      </w:r>
      <w:r>
        <w:rPr>
          <w:rFonts w:ascii="仿宋_GB2312" w:hAnsi="仿宋" w:eastAsia="仿宋_GB2312" w:cs="仿宋"/>
          <w:kern w:val="0"/>
          <w:sz w:val="32"/>
          <w:szCs w:val="32"/>
          <w:shd w:val="clear" w:color="auto" w:fill="FFFFFF"/>
        </w:rPr>
        <w:t xml:space="preserve">                            </w:t>
      </w:r>
      <w:r>
        <w:rPr>
          <w:rFonts w:ascii="仿宋_GB2312" w:hAnsi="仿宋" w:eastAsia="仿宋_GB2312" w:cs="仿宋"/>
          <w:sz w:val="32"/>
          <w:szCs w:val="32"/>
        </w:rPr>
        <w:t xml:space="preserve">   </w:t>
      </w:r>
    </w:p>
    <w:p w14:paraId="27386A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其他需要报告的事项</w:t>
      </w:r>
    </w:p>
    <w:p w14:paraId="408368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2024年，我局政府信息公开工作未收取任何费用。</w:t>
      </w:r>
    </w:p>
    <w:p w14:paraId="413CF7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bookmarkStart w:id="0" w:name="_GoBack"/>
      <w:bookmarkEnd w:id="0"/>
    </w:p>
    <w:p w14:paraId="47A1DC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</w:p>
    <w:p w14:paraId="1D1C70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0" w:firstLineChars="17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常熟市统计局</w:t>
      </w:r>
    </w:p>
    <w:p w14:paraId="700AF4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20" w:firstLineChars="1600"/>
        <w:jc w:val="left"/>
        <w:textAlignment w:val="auto"/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</w:t>
      </w:r>
      <w:r>
        <w:rPr>
          <w:rFonts w:ascii="仿宋_GB2312" w:hAnsi="仿宋" w:eastAsia="仿宋_GB2312" w:cs="仿宋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32"/>
          <w:szCs w:val="32"/>
        </w:rPr>
        <w:t>年</w:t>
      </w:r>
      <w:r>
        <w:rPr>
          <w:rFonts w:ascii="仿宋_GB2312" w:hAnsi="仿宋" w:eastAsia="仿宋_GB2312" w:cs="仿宋"/>
          <w:sz w:val="32"/>
          <w:szCs w:val="32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月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20</w:t>
      </w:r>
      <w:r>
        <w:rPr>
          <w:rFonts w:hint="eastAsia" w:ascii="仿宋_GB2312" w:hAnsi="仿宋" w:eastAsia="仿宋_GB2312" w:cs="仿宋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66166D-65AD-42DF-98D7-E6149B9464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D44696D-16D9-4DAA-9757-1E30E2F4078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88D6B48-CAD1-4D30-93BE-E5B84A23402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3A63DAA-5B6C-4F8D-9D9E-ADA4D7EA62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927D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260431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AaKjbh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60431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M2UwZWQwZTFiOWJiYzBiYzcyYjdkYmQxZTc0ODYifQ=="/>
  </w:docVars>
  <w:rsids>
    <w:rsidRoot w:val="79424AE4"/>
    <w:rsid w:val="003814A3"/>
    <w:rsid w:val="005E005F"/>
    <w:rsid w:val="006A70AE"/>
    <w:rsid w:val="00790633"/>
    <w:rsid w:val="0086583A"/>
    <w:rsid w:val="008C3D55"/>
    <w:rsid w:val="00906AA5"/>
    <w:rsid w:val="009315B3"/>
    <w:rsid w:val="00BE08E1"/>
    <w:rsid w:val="00E60D49"/>
    <w:rsid w:val="00EF1E08"/>
    <w:rsid w:val="00F44A4B"/>
    <w:rsid w:val="03520B4B"/>
    <w:rsid w:val="03F8244D"/>
    <w:rsid w:val="05366842"/>
    <w:rsid w:val="06902C14"/>
    <w:rsid w:val="070A4ADB"/>
    <w:rsid w:val="0A2359D4"/>
    <w:rsid w:val="0A940CDF"/>
    <w:rsid w:val="0B2B5A29"/>
    <w:rsid w:val="112F2F65"/>
    <w:rsid w:val="11F22E94"/>
    <w:rsid w:val="13725CB7"/>
    <w:rsid w:val="191B3745"/>
    <w:rsid w:val="1A2C2469"/>
    <w:rsid w:val="1D0D1D20"/>
    <w:rsid w:val="1DC27A41"/>
    <w:rsid w:val="1F530B25"/>
    <w:rsid w:val="206B03E1"/>
    <w:rsid w:val="20B474F6"/>
    <w:rsid w:val="21B657CE"/>
    <w:rsid w:val="236B56F3"/>
    <w:rsid w:val="255934D9"/>
    <w:rsid w:val="25676998"/>
    <w:rsid w:val="25E25090"/>
    <w:rsid w:val="284356D9"/>
    <w:rsid w:val="2DEC24B7"/>
    <w:rsid w:val="366A2FFA"/>
    <w:rsid w:val="3ED92155"/>
    <w:rsid w:val="3EFC1C71"/>
    <w:rsid w:val="43C107AB"/>
    <w:rsid w:val="44507CD3"/>
    <w:rsid w:val="4A6C6DDE"/>
    <w:rsid w:val="4B2A77FA"/>
    <w:rsid w:val="4B44416C"/>
    <w:rsid w:val="4D1D6D8E"/>
    <w:rsid w:val="4F3976B2"/>
    <w:rsid w:val="506279AF"/>
    <w:rsid w:val="50E7118B"/>
    <w:rsid w:val="51031C29"/>
    <w:rsid w:val="526806C6"/>
    <w:rsid w:val="538D0760"/>
    <w:rsid w:val="546262A5"/>
    <w:rsid w:val="55AE324F"/>
    <w:rsid w:val="59633680"/>
    <w:rsid w:val="5D064B85"/>
    <w:rsid w:val="5F8B1200"/>
    <w:rsid w:val="622F07F6"/>
    <w:rsid w:val="64673E30"/>
    <w:rsid w:val="66C5777F"/>
    <w:rsid w:val="685E281D"/>
    <w:rsid w:val="6ABC248E"/>
    <w:rsid w:val="6E6D5BE3"/>
    <w:rsid w:val="76804546"/>
    <w:rsid w:val="769043E9"/>
    <w:rsid w:val="77D970E3"/>
    <w:rsid w:val="78173812"/>
    <w:rsid w:val="79424AE4"/>
    <w:rsid w:val="797A2198"/>
    <w:rsid w:val="7B244DF4"/>
    <w:rsid w:val="7C433518"/>
    <w:rsid w:val="7C9B4F45"/>
    <w:rsid w:val="7ED0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autoRedefine/>
    <w:qFormat/>
    <w:uiPriority w:val="99"/>
    <w:rPr>
      <w:rFonts w:cs="Times New Roman"/>
      <w:b/>
    </w:rPr>
  </w:style>
  <w:style w:type="character" w:customStyle="1" w:styleId="8">
    <w:name w:val="Footer Char"/>
    <w:basedOn w:val="6"/>
    <w:link w:val="2"/>
    <w:autoRedefine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9">
    <w:name w:val="Header Char"/>
    <w:basedOn w:val="6"/>
    <w:link w:val="3"/>
    <w:autoRedefine/>
    <w:semiHidden/>
    <w:qFormat/>
    <w:locked/>
    <w:uiPriority w:val="99"/>
    <w:rPr>
      <w:rFonts w:ascii="Calibri" w:hAnsi="Calibri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5</Pages>
  <Words>1630</Words>
  <Characters>1691</Characters>
  <Lines>0</Lines>
  <Paragraphs>0</Paragraphs>
  <TotalTime>29</TotalTime>
  <ScaleCrop>false</ScaleCrop>
  <LinksUpToDate>false</LinksUpToDate>
  <CharactersWithSpaces>1724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2020-01-19T09:01:00Z</dcterms:created>
  <dc:creator>白白</dc:creator>
  <cp:lastModifiedBy>Ddddddd</cp:lastModifiedBy>
  <cp:lastPrinted>2025-01-20T01:16:04Z</cp:lastPrinted>
  <dcterms:modified xsi:type="dcterms:W3CDTF">2025-01-20T01:47:58Z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1F8B4359318F45EFB9DE054E5BB7A7EB_13</vt:lpwstr>
  </property>
  <property fmtid="{D5CDD505-2E9C-101B-9397-08002B2CF9AE}" pid="4" name="KSOTemplateDocerSaveRecord">
    <vt:lpwstr>eyJoZGlkIjoiYzYzZTI4ODQ3MzFmODQxZGZhZDVlZjhjM2U4MGQzNDAiLCJ1c2VySWQiOiIzMzQ2MDcyODYifQ==</vt:lpwstr>
  </property>
</Properties>
</file>