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常熟市统计局</w:t>
      </w:r>
      <w:r>
        <w:rPr>
          <w:rFonts w:hint="eastAsia" w:ascii="方正小标宋_GBK" w:hAnsi="宋体" w:eastAsia="方正小标宋_GBK" w:cs="宋体"/>
          <w:sz w:val="44"/>
          <w:szCs w:val="44"/>
          <w:lang w:eastAsia="zh-CN"/>
        </w:rPr>
        <w:t>202</w:t>
      </w:r>
      <w:r>
        <w:rPr>
          <w:rFonts w:hint="eastAsia" w:ascii="方正小标宋_GBK" w:hAnsi="宋体" w:eastAsia="方正小标宋_GBK" w:cs="宋体"/>
          <w:sz w:val="44"/>
          <w:szCs w:val="44"/>
          <w:lang w:val="en-US" w:eastAsia="zh-CN"/>
        </w:rPr>
        <w:t>3</w:t>
      </w:r>
      <w:r>
        <w:rPr>
          <w:rFonts w:hint="eastAsia" w:ascii="方正小标宋_GBK" w:hAnsi="宋体" w:eastAsia="方正小标宋_GBK" w:cs="宋体"/>
          <w:sz w:val="44"/>
          <w:szCs w:val="44"/>
        </w:rPr>
        <w:t>年政府信息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_GBK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公开工作年度报告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根据《中华人民共和国政府信息公开条例》规定，现公布常熟市统计局202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年政府信息公开工作年度报告。本年报所列数据的统计期限自202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年1月1日起至202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年12月31日止。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年，市统计局高度重视政府信息公开工作，严格落实《中华人民共和国政府信息公开条例》，紧紧围绕市委、市政府重大决策部署，进一步深化对政府信息公开重要作用的认识，切实提高政府信息公开工作主动性、自觉性，不断提升政府信息公开工作质效。积极推进政府信息公开工作，强化制度机制建设，拓展主动公开领域，注重数据分析解读，积极回应社会关切，完善信息公开平台，秉持“服务、创新、开放”统计理念，充分发挥统计“信息、咨询、监督”职能，坚持以公开为常态、不公开为例外，全面推进政务公开工作，不断扩大公开范围、规范公开内容、增强公开实效、着力提升统计服务能力和政府统计公信力，展示统计工作良好形象。现结合</w:t>
      </w:r>
      <w:r>
        <w:rPr>
          <w:rFonts w:hint="eastAsia" w:ascii="仿宋_GB2312" w:hAnsi="仿宋" w:eastAsia="仿宋_GB2312" w:cs="仿宋"/>
          <w:sz w:val="32"/>
          <w:szCs w:val="32"/>
          <w:highlight w:val="none"/>
          <w:lang w:eastAsia="zh-CN"/>
        </w:rPr>
        <w:t>我局实际，将总体情况报告如下：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  <w:t>（一）主动公开情况。2023年，市统计局积极利用“常熟市人民政府”政府门户网站主动向社会公众公开统计部门信息。全年在“常熟市人民政府”累计公布各类信息共88篇（不重复计算），其中，统计工作动态53篇，占60.2%；统计数据类信息14篇，占15.9%；其他动态21篇，占23.8%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highlight w:val="none"/>
          <w:lang w:val="en-US" w:eastAsia="zh-CN"/>
        </w:rPr>
        <w:t>（二）依申请公开情况。认真贯彻落实《江苏省政府办公厅关于规范政府信息依申请公开办理程序的意见》和《江苏省政府信息公开申请办理答复规范》等文件，进一步明确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内部职责分工、办理流程和答复格式，严格规范政府信息依申请公开办理工作。2023年，共受理政府信息公开申请7件，按时办理7件。同时，及时认真办理寒山闻钟、在线咨询、部门信箱和“12345”热线信箱等事宜共17条，积极回应社会公众关心的热点问题，回复率达到100%，没有超期回复现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三）政府信息管理情况。健全信息采集、审核、发布、更新机制，保证发布信息的准确、及时、全面、高效。严格落实“上网信息发布审批”制度，编发的各类统计数据、统计信息，由科室负责人初审，按规定程序报局分管领导签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（四）平台建设情况。严格按照《关于进一步做好常熟政务新媒体工作的通知》文件精神，切实做好“常熟统计”微信公众号管理工作，明确管理责任，严格内容生产和发布审核，全年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及时发布月度经济统计数据、年度GDP数据、常熟市国民经济和社会发展统计公报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、数据解读以及普查要闻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等统计数据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共60篇。积极探索“互联网+统计”的应用，进一步推进统计大数据平台建设，加载完善了历年《常熟统计年鉴》等年度数据资料。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（五）监督保障情况。持续优化考评体系，将信息工作纳入对全体干部职工的年度考核，明确信息工作考核目标任务，每月进行汇总整理，每季度进行考核打分，全面提升机关工作效能和工作实绩。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同时，积极推进重点领域信息公开，利用“常熟市人民政府”政府门户网站，公布《2023年常熟市国民经济和社会发展统计公报》，准确反映常熟经济发展状况。在“江苏省预决算公开统一平台”上按时公布常熟市统计局2022年部门决算和2023年部门预算，使部门运行更加公开透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</w:rPr>
        <w:t>年，全年未收取任何政府信息公开费用，未发生因政府信息公开申请行政复议、提起行政诉讼的情况。</w:t>
      </w:r>
    </w:p>
    <w:p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5"/>
        <w:tblW w:w="9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9"/>
        <w:gridCol w:w="2055"/>
        <w:gridCol w:w="1878"/>
        <w:gridCol w:w="25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第二十条第（一）项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205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本年制发件数</w:t>
            </w:r>
          </w:p>
        </w:tc>
        <w:tc>
          <w:tcPr>
            <w:tcW w:w="187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本年废止件数</w:t>
            </w:r>
          </w:p>
        </w:tc>
        <w:tc>
          <w:tcPr>
            <w:tcW w:w="25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现行有效件数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规章</w:t>
            </w:r>
          </w:p>
        </w:tc>
        <w:tc>
          <w:tcPr>
            <w:tcW w:w="205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规范性文件</w:t>
            </w:r>
          </w:p>
        </w:tc>
        <w:tc>
          <w:tcPr>
            <w:tcW w:w="2055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187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25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第二十条第（五）项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行政许可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第二十条第（六）项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本年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处理决定数量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行政处罚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行政强制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9522" w:type="dxa"/>
            <w:gridSpan w:val="4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第二十条（八）项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信息内容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本年收费金额（单位：万元）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  <w:jc w:val="center"/>
        </w:trPr>
        <w:tc>
          <w:tcPr>
            <w:tcW w:w="303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行政事业性收费</w:t>
            </w:r>
          </w:p>
        </w:tc>
        <w:tc>
          <w:tcPr>
            <w:tcW w:w="6483" w:type="dxa"/>
            <w:gridSpan w:val="3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>
      <w:pPr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br w:type="page"/>
      </w:r>
    </w:p>
    <w:p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 </w:t>
      </w:r>
      <w:r>
        <w:rPr>
          <w:rFonts w:hint="eastAsia" w:ascii="黑体" w:hAnsi="黑体" w:eastAsia="黑体" w:cs="黑体"/>
          <w:sz w:val="32"/>
          <w:szCs w:val="32"/>
        </w:rPr>
        <w:t>三、收到和处理政府信息公开申请情况</w:t>
      </w:r>
    </w:p>
    <w:tbl>
      <w:tblPr>
        <w:tblStyle w:val="5"/>
        <w:tblW w:w="95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1613"/>
        <w:gridCol w:w="3071"/>
        <w:gridCol w:w="786"/>
        <w:gridCol w:w="684"/>
        <w:gridCol w:w="513"/>
        <w:gridCol w:w="602"/>
        <w:gridCol w:w="566"/>
        <w:gridCol w:w="566"/>
        <w:gridCol w:w="54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4257" w:type="dxa"/>
            <w:gridSpan w:val="7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申请人情况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自然人</w:t>
            </w:r>
          </w:p>
        </w:tc>
        <w:tc>
          <w:tcPr>
            <w:tcW w:w="2931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法人或其他组织</w:t>
            </w:r>
          </w:p>
        </w:tc>
        <w:tc>
          <w:tcPr>
            <w:tcW w:w="540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6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商业企业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科研机构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社会公益组织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法律服务机构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</w:t>
            </w:r>
          </w:p>
        </w:tc>
        <w:tc>
          <w:tcPr>
            <w:tcW w:w="54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三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度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办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理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果</w:t>
            </w: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（一）予以公开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（二）部分公开（区分处理的，只认这一情形，不计其他情形）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（三）不予公开</w:t>
            </w: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1.属于国家秘密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4.保护第三方合法权益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6.属于四类过程性信息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7.属于行政执法案卷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8.属于行政查询事项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（四）无法提供</w:t>
            </w: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（五）不予处理</w:t>
            </w: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1.信访举报投诉类申请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2.重复申请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3.要求提供公开出版物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1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71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（六）其他处理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8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684" w:type="dxa"/>
            <w:gridSpan w:val="2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（七）总计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2" w:type="dxa"/>
            <w:gridSpan w:val="3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78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8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4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widowControl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5"/>
        <w:tblW w:w="958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700"/>
        <w:gridCol w:w="652"/>
        <w:gridCol w:w="583"/>
        <w:gridCol w:w="632"/>
        <w:gridCol w:w="651"/>
        <w:gridCol w:w="634"/>
        <w:gridCol w:w="600"/>
        <w:gridCol w:w="666"/>
        <w:gridCol w:w="700"/>
        <w:gridCol w:w="650"/>
        <w:gridCol w:w="667"/>
        <w:gridCol w:w="550"/>
        <w:gridCol w:w="583"/>
        <w:gridCol w:w="6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3236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行政复议</w:t>
            </w:r>
          </w:p>
        </w:tc>
        <w:tc>
          <w:tcPr>
            <w:tcW w:w="6351" w:type="dxa"/>
            <w:gridSpan w:val="10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行政诉讼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669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700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52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32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3251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未经复议直接起诉</w:t>
            </w:r>
          </w:p>
        </w:tc>
        <w:tc>
          <w:tcPr>
            <w:tcW w:w="3100" w:type="dxa"/>
            <w:gridSpan w:val="5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复议后起诉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1" w:hRule="atLeast"/>
          <w:jc w:val="center"/>
        </w:trPr>
        <w:tc>
          <w:tcPr>
            <w:tcW w:w="669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2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83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32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51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34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600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666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700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  <w:tc>
          <w:tcPr>
            <w:tcW w:w="650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结果维持</w:t>
            </w:r>
          </w:p>
        </w:tc>
        <w:tc>
          <w:tcPr>
            <w:tcW w:w="667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结果纠正</w:t>
            </w:r>
          </w:p>
        </w:tc>
        <w:tc>
          <w:tcPr>
            <w:tcW w:w="550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其他结果</w:t>
            </w:r>
          </w:p>
        </w:tc>
        <w:tc>
          <w:tcPr>
            <w:tcW w:w="583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尚未审结</w:t>
            </w:r>
          </w:p>
        </w:tc>
        <w:tc>
          <w:tcPr>
            <w:tcW w:w="650" w:type="dxa"/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669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1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34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0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6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70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67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58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  <w:tc>
          <w:tcPr>
            <w:tcW w:w="65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</w:rPr>
        <w:t>年，我局政府信息公开工作虽然取得一定成效，但还存在如下问题：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2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10624185</wp:posOffset>
            </wp:positionV>
            <wp:extent cx="1609725" cy="1628775"/>
            <wp:effectExtent l="0" t="0" r="9525" b="9525"/>
            <wp:wrapNone/>
            <wp:docPr id="1" name="EPOINT_STAMP_4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POINT_STAMP_404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" w:eastAsia="仿宋_GB2312" w:cs="仿宋"/>
          <w:sz w:val="32"/>
          <w:szCs w:val="32"/>
        </w:rPr>
        <w:t>一是政府信息公开程序不够规范，部分信息目录分类杂乱。我局将进一步准确把握政策要求，切实处理好公开与保密、主动公开与依申请公开、接受社会监督与提供信息服务等方面的关系，丰富公开内容、创新公开形式、拓宽公开渠道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sz w:val="32"/>
          <w:szCs w:val="32"/>
        </w:rPr>
        <w:t>进一步扩展信息公开内容，突出重点、热点和难点问题，不断丰富政策解读形式，提高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公开</w:t>
      </w:r>
      <w:r>
        <w:rPr>
          <w:rFonts w:hint="eastAsia" w:ascii="仿宋_GB2312" w:hAnsi="仿宋" w:eastAsia="仿宋_GB2312" w:cs="仿宋"/>
          <w:sz w:val="32"/>
          <w:szCs w:val="32"/>
        </w:rPr>
        <w:t>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二是政府信息公开的时效性有待增强，单位信息公开机制缺乏，没有把政府信息公开作为一项日常性工作，未按照随生成随公开原则进行公开，政府信息公开的规范性有待提升。我局将进一步强化业务学习，提升信息公开工作人员业务能力水平，提升信息发布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2024年，市统计局将继续深入贯彻落实《条例》，重点做好以下几方面工作：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一是进一步夯实政府信息公开基础。坚持“以公开为常态，不公开为例外”原则，加强政府信息管理，调整更新政府信息主动公开目录，提高信息公开工作的质量和水平。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二是强化推进政府信息公开工作规范化标准化。根据统一部署，建立健全统计领域政府信息公开的基本数据库，如规范性文件库、主动公开数据库、依申请公开数据库等基本信息库。进一步加强统计服务、统计发声、数据解读工作，全方位、多角度宣传解读统计数据，加强重点领域政府信息的采集，提高信息质量，丰富公开内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三是进一步优化政府信息公开平台，确保统计信息的权威性、准确性、及时性，着力加强“常熟统计”微信公众号管理运行，充分发挥政务新媒体矩阵力量，持续放大政务新媒体在政策解读上的传播力和影响力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</w:rPr>
        <w:t>为人民群众提供快捷、方便的统计信息服务</w:t>
      </w:r>
      <w:r>
        <w:rPr>
          <w:rFonts w:hint="eastAsia" w:ascii="仿宋_GB2312" w:hAnsi="仿宋" w:eastAsia="仿宋_GB2312" w:cs="仿宋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ascii="仿宋_GB2312" w:hAnsi="仿宋" w:eastAsia="仿宋_GB2312" w:cs="仿宋"/>
          <w:kern w:val="0"/>
          <w:sz w:val="32"/>
          <w:szCs w:val="32"/>
          <w:shd w:val="clear" w:color="auto" w:fill="FFFFFF"/>
        </w:rPr>
        <w:t xml:space="preserve">                               </w:t>
      </w:r>
      <w:r>
        <w:rPr>
          <w:rFonts w:ascii="仿宋_GB2312" w:hAnsi="仿宋" w:eastAsia="仿宋_GB2312" w:cs="仿宋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其他需要报告的事项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本机关在办理2023年度信息公开申请中未收取信息处理费。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常熟市统计局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left"/>
        <w:textAlignment w:val="auto"/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 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</w:rPr>
        <w:t>年</w:t>
      </w:r>
      <w:r>
        <w:rPr>
          <w:rFonts w:ascii="仿宋_GB2312" w:hAnsi="仿宋" w:eastAsia="仿宋_GB2312" w:cs="仿宋"/>
          <w:sz w:val="32"/>
          <w:szCs w:val="32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 w:cs="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M2UwZWQwZTFiOWJiYzBiYzcyYjdkYmQxZTc0ODYifQ=="/>
  </w:docVars>
  <w:rsids>
    <w:rsidRoot w:val="79424AE4"/>
    <w:rsid w:val="003814A3"/>
    <w:rsid w:val="005E005F"/>
    <w:rsid w:val="006A70AE"/>
    <w:rsid w:val="00790633"/>
    <w:rsid w:val="0086583A"/>
    <w:rsid w:val="008C3D55"/>
    <w:rsid w:val="00906AA5"/>
    <w:rsid w:val="009315B3"/>
    <w:rsid w:val="00BE08E1"/>
    <w:rsid w:val="00E60D49"/>
    <w:rsid w:val="00EF1E08"/>
    <w:rsid w:val="00F44A4B"/>
    <w:rsid w:val="03520B4B"/>
    <w:rsid w:val="03F8244D"/>
    <w:rsid w:val="05366842"/>
    <w:rsid w:val="0A2359D4"/>
    <w:rsid w:val="0A940CDF"/>
    <w:rsid w:val="112F2F65"/>
    <w:rsid w:val="11F22E94"/>
    <w:rsid w:val="13725CB7"/>
    <w:rsid w:val="191B3745"/>
    <w:rsid w:val="1A2C2469"/>
    <w:rsid w:val="1D0D1D20"/>
    <w:rsid w:val="1F530B25"/>
    <w:rsid w:val="206B03E1"/>
    <w:rsid w:val="20B474F6"/>
    <w:rsid w:val="21B657CE"/>
    <w:rsid w:val="236B56F3"/>
    <w:rsid w:val="255934D9"/>
    <w:rsid w:val="25E25090"/>
    <w:rsid w:val="284356D9"/>
    <w:rsid w:val="2DEC24B7"/>
    <w:rsid w:val="366A2FFA"/>
    <w:rsid w:val="3ED92155"/>
    <w:rsid w:val="3EFC1C71"/>
    <w:rsid w:val="44507CD3"/>
    <w:rsid w:val="4A6C6DDE"/>
    <w:rsid w:val="4B44416C"/>
    <w:rsid w:val="4D1D6D8E"/>
    <w:rsid w:val="4F3976B2"/>
    <w:rsid w:val="506279AF"/>
    <w:rsid w:val="50E7118B"/>
    <w:rsid w:val="546262A5"/>
    <w:rsid w:val="59633680"/>
    <w:rsid w:val="5D064B85"/>
    <w:rsid w:val="5F8B1200"/>
    <w:rsid w:val="622F07F6"/>
    <w:rsid w:val="64673E30"/>
    <w:rsid w:val="66C5777F"/>
    <w:rsid w:val="685E281D"/>
    <w:rsid w:val="6ABC248E"/>
    <w:rsid w:val="6E6D5BE3"/>
    <w:rsid w:val="76804546"/>
    <w:rsid w:val="769043E9"/>
    <w:rsid w:val="77D970E3"/>
    <w:rsid w:val="78173812"/>
    <w:rsid w:val="79424AE4"/>
    <w:rsid w:val="7B244DF4"/>
    <w:rsid w:val="7C433518"/>
    <w:rsid w:val="7C9B4F45"/>
    <w:rsid w:val="7ED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autoRedefine/>
    <w:qFormat/>
    <w:uiPriority w:val="99"/>
    <w:rPr>
      <w:rFonts w:cs="Times New Roman"/>
      <w:b/>
    </w:rPr>
  </w:style>
  <w:style w:type="character" w:customStyle="1" w:styleId="8">
    <w:name w:val="Footer Char"/>
    <w:basedOn w:val="6"/>
    <w:link w:val="2"/>
    <w:autoRedefine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9">
    <w:name w:val="Header Char"/>
    <w:basedOn w:val="6"/>
    <w:link w:val="3"/>
    <w:autoRedefine/>
    <w:semiHidden/>
    <w:qFormat/>
    <w:locked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6</Pages>
  <Words>2450</Words>
  <Characters>2540</Characters>
  <Lines>0</Lines>
  <Paragraphs>0</Paragraphs>
  <TotalTime>0</TotalTime>
  <ScaleCrop>false</ScaleCrop>
  <LinksUpToDate>false</LinksUpToDate>
  <CharactersWithSpaces>2577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2020-01-19T09:01:00Z</dcterms:created>
  <dc:creator>白白</dc:creator>
  <cp:lastModifiedBy>CSTJJ_YY</cp:lastModifiedBy>
  <cp:lastPrinted>2024-01-18T07:19:00Z</cp:lastPrinted>
  <dcterms:modified xsi:type="dcterms:W3CDTF">2024-01-29T06:21:30Z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DE07CAE70238445C8627835964D1AAB4_13</vt:lpwstr>
  </property>
</Properties>
</file>