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D772C6">
      <w:pPr>
        <w:widowControl/>
        <w:spacing w:line="560" w:lineRule="exact"/>
        <w:jc w:val="center"/>
        <w:rPr>
          <w:rFonts w:ascii="方正小标宋_GBK" w:eastAsia="方正小标宋_GBK" w:cs="宋体"/>
          <w:sz w:val="44"/>
          <w:szCs w:val="44"/>
        </w:rPr>
      </w:pPr>
      <w:bookmarkStart w:id="0" w:name="_GoBack"/>
      <w:r>
        <w:rPr>
          <w:rFonts w:hint="eastAsia" w:ascii="方正小标宋_GBK" w:hAnsi="宋体" w:eastAsia="方正小标宋_GBK" w:cs="宋体"/>
          <w:sz w:val="44"/>
          <w:szCs w:val="44"/>
        </w:rPr>
        <w:t>常熟市统计局</w:t>
      </w:r>
    </w:p>
    <w:p w14:paraId="6001CAEF">
      <w:pPr>
        <w:widowControl/>
        <w:spacing w:line="560" w:lineRule="exact"/>
        <w:jc w:val="center"/>
        <w:rPr>
          <w:rFonts w:ascii="方正小标宋_GBK" w:eastAsia="方正小标宋_GBK" w:cs="宋体"/>
          <w:sz w:val="44"/>
          <w:szCs w:val="44"/>
        </w:rPr>
      </w:pPr>
      <w:r>
        <w:rPr>
          <w:rFonts w:ascii="方正小标宋_GBK" w:hAnsi="宋体" w:eastAsia="方正小标宋_GBK" w:cs="宋体"/>
          <w:sz w:val="44"/>
          <w:szCs w:val="44"/>
        </w:rPr>
        <w:t>2019</w:t>
      </w:r>
      <w:r>
        <w:rPr>
          <w:rFonts w:hint="eastAsia" w:ascii="方正小标宋_GBK" w:hAnsi="宋体" w:eastAsia="方正小标宋_GBK" w:cs="宋体"/>
          <w:sz w:val="44"/>
          <w:szCs w:val="44"/>
        </w:rPr>
        <w:t>年政府信息公开工作年度报告</w:t>
      </w:r>
      <w:bookmarkEnd w:id="0"/>
    </w:p>
    <w:p w14:paraId="549BCFD6">
      <w:pPr>
        <w:widowControl/>
        <w:jc w:val="left"/>
        <w:rPr>
          <w:rFonts w:ascii="微软雅黑" w:hAnsi="微软雅黑" w:eastAsia="微软雅黑" w:cs="微软雅黑"/>
          <w:kern w:val="0"/>
          <w:sz w:val="24"/>
          <w:shd w:val="clear" w:color="auto" w:fill="FFFFFF"/>
        </w:rPr>
      </w:pPr>
    </w:p>
    <w:p w14:paraId="414084C1">
      <w:pPr>
        <w:widowControl/>
        <w:spacing w:line="56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一、总体情况</w:t>
      </w:r>
    </w:p>
    <w:p w14:paraId="6F4D382E">
      <w:pPr>
        <w:widowControl/>
        <w:spacing w:line="560" w:lineRule="exact"/>
        <w:ind w:firstLine="640" w:firstLineChars="200"/>
        <w:jc w:val="left"/>
        <w:rPr>
          <w:rFonts w:ascii="仿宋_GB2312" w:hAnsi="仿宋" w:eastAsia="仿宋_GB2312" w:cs="仿宋"/>
          <w:sz w:val="32"/>
          <w:szCs w:val="32"/>
        </w:rPr>
      </w:pPr>
      <w:r>
        <w:rPr>
          <w:rFonts w:ascii="仿宋_GB2312" w:hAnsi="仿宋" w:eastAsia="仿宋_GB2312" w:cs="仿宋"/>
          <w:sz w:val="32"/>
          <w:szCs w:val="32"/>
        </w:rPr>
        <w:t>2019</w:t>
      </w:r>
      <w:r>
        <w:rPr>
          <w:rFonts w:hint="eastAsia" w:ascii="仿宋_GB2312" w:hAnsi="仿宋" w:eastAsia="仿宋_GB2312" w:cs="仿宋"/>
          <w:sz w:val="32"/>
          <w:szCs w:val="32"/>
        </w:rPr>
        <w:t>年，我局按照《中华人民共和国政府信息公开条例》，切实加强领导，采取有效措施，扎实推进本单位政府信息公开工作，在主动公开、依申请公开、政府信息管理、监督保障等方面取得了较好成效。</w:t>
      </w:r>
    </w:p>
    <w:p w14:paraId="764BDB51">
      <w:pPr>
        <w:widowControl/>
        <w:spacing w:line="560" w:lineRule="exact"/>
        <w:ind w:firstLine="640" w:firstLineChars="200"/>
        <w:jc w:val="left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一是加强组织领导。我局把政府信息公开工作作为统计工作的基础工程、窗口工程和服务工程来抓，把新《政府信息公开条例》的学习解读纳入局党组中心组专题学习计划。政府信息公开由分管领导专门负责，并配备了</w:t>
      </w:r>
      <w:r>
        <w:rPr>
          <w:rFonts w:ascii="仿宋_GB2312" w:hAnsi="仿宋" w:eastAsia="仿宋_GB2312" w:cs="仿宋"/>
          <w:sz w:val="32"/>
          <w:szCs w:val="32"/>
        </w:rPr>
        <w:t>2</w:t>
      </w:r>
      <w:r>
        <w:rPr>
          <w:rFonts w:hint="eastAsia" w:ascii="仿宋_GB2312" w:hAnsi="仿宋" w:eastAsia="仿宋_GB2312" w:cs="仿宋"/>
          <w:sz w:val="32"/>
          <w:szCs w:val="32"/>
        </w:rPr>
        <w:t>名政府信息公开工作人员，确保信息及时更新，确保公开内容全面、完整、准确。</w:t>
      </w:r>
    </w:p>
    <w:p w14:paraId="2E6E9B65">
      <w:pPr>
        <w:spacing w:line="6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二是加大主动公开。</w:t>
      </w:r>
      <w:r>
        <w:rPr>
          <w:rFonts w:ascii="仿宋_GB2312" w:hAnsi="仿宋" w:eastAsia="仿宋_GB2312" w:cs="仿宋"/>
          <w:sz w:val="32"/>
          <w:szCs w:val="32"/>
        </w:rPr>
        <w:t>2019</w:t>
      </w:r>
      <w:r>
        <w:rPr>
          <w:rFonts w:hint="eastAsia" w:ascii="仿宋_GB2312" w:hAnsi="仿宋" w:eastAsia="仿宋_GB2312" w:cs="仿宋"/>
          <w:sz w:val="32"/>
          <w:szCs w:val="32"/>
        </w:rPr>
        <w:t>年，我局积极利用“中国常熟”政府门户网站主动向社会公众公开统计部门信息。全年在“中国常熟”累计公布各类信息共</w:t>
      </w:r>
      <w:r>
        <w:rPr>
          <w:rFonts w:ascii="仿宋_GB2312" w:hAnsi="仿宋" w:eastAsia="仿宋_GB2312" w:cs="仿宋"/>
          <w:sz w:val="32"/>
          <w:szCs w:val="32"/>
        </w:rPr>
        <w:t>211</w:t>
      </w:r>
      <w:r>
        <w:rPr>
          <w:rFonts w:hint="eastAsia" w:ascii="仿宋_GB2312" w:hAnsi="仿宋" w:eastAsia="仿宋_GB2312" w:cs="仿宋"/>
          <w:sz w:val="32"/>
          <w:szCs w:val="32"/>
        </w:rPr>
        <w:t>条（不重复计算），其中，统计工作动态</w:t>
      </w:r>
      <w:r>
        <w:rPr>
          <w:rFonts w:ascii="仿宋_GB2312" w:hAnsi="仿宋" w:eastAsia="仿宋_GB2312" w:cs="仿宋"/>
          <w:sz w:val="32"/>
          <w:szCs w:val="32"/>
        </w:rPr>
        <w:t>91</w:t>
      </w:r>
      <w:r>
        <w:rPr>
          <w:rFonts w:hint="eastAsia" w:ascii="仿宋_GB2312" w:hAnsi="仿宋" w:eastAsia="仿宋_GB2312" w:cs="仿宋"/>
          <w:sz w:val="32"/>
          <w:szCs w:val="32"/>
        </w:rPr>
        <w:t>条，占</w:t>
      </w:r>
      <w:r>
        <w:rPr>
          <w:rFonts w:ascii="仿宋_GB2312" w:hAnsi="仿宋" w:eastAsia="仿宋_GB2312" w:cs="仿宋"/>
          <w:sz w:val="32"/>
          <w:szCs w:val="32"/>
        </w:rPr>
        <w:t>43.1%</w:t>
      </w:r>
      <w:r>
        <w:rPr>
          <w:rFonts w:hint="eastAsia" w:ascii="仿宋_GB2312" w:hAnsi="仿宋" w:eastAsia="仿宋_GB2312" w:cs="仿宋"/>
          <w:sz w:val="32"/>
          <w:szCs w:val="32"/>
        </w:rPr>
        <w:t>；党务公开信息</w:t>
      </w:r>
      <w:r>
        <w:rPr>
          <w:rFonts w:ascii="仿宋_GB2312" w:hAnsi="仿宋" w:eastAsia="仿宋_GB2312" w:cs="仿宋"/>
          <w:sz w:val="32"/>
          <w:szCs w:val="32"/>
        </w:rPr>
        <w:t>66</w:t>
      </w:r>
      <w:r>
        <w:rPr>
          <w:rFonts w:hint="eastAsia" w:ascii="仿宋_GB2312" w:hAnsi="仿宋" w:eastAsia="仿宋_GB2312" w:cs="仿宋"/>
          <w:sz w:val="32"/>
          <w:szCs w:val="32"/>
        </w:rPr>
        <w:t>条，占</w:t>
      </w:r>
      <w:r>
        <w:rPr>
          <w:rFonts w:ascii="仿宋_GB2312" w:hAnsi="仿宋" w:eastAsia="仿宋_GB2312" w:cs="仿宋"/>
          <w:sz w:val="32"/>
          <w:szCs w:val="32"/>
        </w:rPr>
        <w:t>31.3%</w:t>
      </w:r>
      <w:r>
        <w:rPr>
          <w:rFonts w:hint="eastAsia" w:ascii="仿宋_GB2312" w:hAnsi="仿宋" w:eastAsia="仿宋_GB2312" w:cs="仿宋"/>
          <w:sz w:val="32"/>
          <w:szCs w:val="32"/>
        </w:rPr>
        <w:t>；统计数据解读</w:t>
      </w:r>
      <w:r>
        <w:rPr>
          <w:rFonts w:ascii="仿宋_GB2312" w:hAnsi="仿宋" w:eastAsia="仿宋_GB2312" w:cs="仿宋"/>
          <w:sz w:val="32"/>
          <w:szCs w:val="32"/>
        </w:rPr>
        <w:t>25</w:t>
      </w:r>
      <w:r>
        <w:rPr>
          <w:rFonts w:hint="eastAsia" w:ascii="仿宋_GB2312" w:hAnsi="仿宋" w:eastAsia="仿宋_GB2312" w:cs="仿宋"/>
          <w:sz w:val="32"/>
          <w:szCs w:val="32"/>
        </w:rPr>
        <w:t>篇，占</w:t>
      </w:r>
      <w:r>
        <w:rPr>
          <w:rFonts w:ascii="仿宋_GB2312" w:hAnsi="仿宋" w:eastAsia="仿宋_GB2312" w:cs="仿宋"/>
          <w:sz w:val="32"/>
          <w:szCs w:val="32"/>
        </w:rPr>
        <w:t>11.8%</w:t>
      </w:r>
      <w:r>
        <w:rPr>
          <w:rFonts w:hint="eastAsia" w:ascii="仿宋_GB2312" w:hAnsi="仿宋" w:eastAsia="仿宋_GB2312" w:cs="仿宋"/>
          <w:sz w:val="32"/>
          <w:szCs w:val="32"/>
        </w:rPr>
        <w:t>；阶段性统计数据</w:t>
      </w:r>
      <w:r>
        <w:rPr>
          <w:rFonts w:ascii="仿宋_GB2312" w:hAnsi="仿宋" w:eastAsia="仿宋_GB2312" w:cs="仿宋"/>
          <w:sz w:val="32"/>
          <w:szCs w:val="32"/>
        </w:rPr>
        <w:t>15</w:t>
      </w:r>
      <w:r>
        <w:rPr>
          <w:rFonts w:hint="eastAsia" w:ascii="仿宋_GB2312" w:hAnsi="仿宋" w:eastAsia="仿宋_GB2312" w:cs="仿宋"/>
          <w:sz w:val="32"/>
          <w:szCs w:val="32"/>
        </w:rPr>
        <w:t>篇，占</w:t>
      </w:r>
      <w:r>
        <w:rPr>
          <w:rFonts w:ascii="仿宋_GB2312" w:hAnsi="仿宋" w:eastAsia="仿宋_GB2312" w:cs="仿宋"/>
          <w:sz w:val="32"/>
          <w:szCs w:val="32"/>
        </w:rPr>
        <w:t>7.1%</w:t>
      </w:r>
      <w:r>
        <w:rPr>
          <w:rFonts w:hint="eastAsia" w:ascii="仿宋_GB2312" w:hAnsi="仿宋" w:eastAsia="仿宋_GB2312" w:cs="仿宋"/>
          <w:sz w:val="32"/>
          <w:szCs w:val="32"/>
        </w:rPr>
        <w:t>；统计分析</w:t>
      </w:r>
      <w:r>
        <w:rPr>
          <w:rFonts w:ascii="仿宋_GB2312" w:hAnsi="仿宋" w:eastAsia="仿宋_GB2312" w:cs="仿宋"/>
          <w:sz w:val="32"/>
          <w:szCs w:val="32"/>
        </w:rPr>
        <w:t>14</w:t>
      </w:r>
      <w:r>
        <w:rPr>
          <w:rFonts w:hint="eastAsia" w:ascii="仿宋_GB2312" w:hAnsi="仿宋" w:eastAsia="仿宋_GB2312" w:cs="仿宋"/>
          <w:sz w:val="32"/>
          <w:szCs w:val="32"/>
        </w:rPr>
        <w:t>篇，占</w:t>
      </w:r>
      <w:r>
        <w:rPr>
          <w:rFonts w:ascii="仿宋_GB2312" w:hAnsi="仿宋" w:eastAsia="仿宋_GB2312" w:cs="仿宋"/>
          <w:sz w:val="32"/>
          <w:szCs w:val="32"/>
        </w:rPr>
        <w:t>6.6%</w:t>
      </w:r>
      <w:r>
        <w:rPr>
          <w:rFonts w:hint="eastAsia" w:ascii="仿宋_GB2312" w:hAnsi="仿宋" w:eastAsia="仿宋_GB2312" w:cs="仿宋"/>
          <w:sz w:val="32"/>
          <w:szCs w:val="32"/>
        </w:rPr>
        <w:t>。我局积极创新信息公开方式，利用“常熟统计”微信公众号，及时发布月度经济统计数据、年度</w:t>
      </w:r>
      <w:r>
        <w:rPr>
          <w:rFonts w:ascii="仿宋_GB2312" w:hAnsi="仿宋" w:eastAsia="仿宋_GB2312" w:cs="仿宋"/>
          <w:sz w:val="32"/>
          <w:szCs w:val="32"/>
        </w:rPr>
        <w:t>GDP</w:t>
      </w:r>
      <w:r>
        <w:rPr>
          <w:rFonts w:hint="eastAsia" w:ascii="仿宋_GB2312" w:hAnsi="仿宋" w:eastAsia="仿宋_GB2312" w:cs="仿宋"/>
          <w:sz w:val="32"/>
          <w:szCs w:val="32"/>
        </w:rPr>
        <w:t>数据以及常熟市国民经济和社会发展统计公报等统计数据，共计</w:t>
      </w:r>
      <w:r>
        <w:rPr>
          <w:rFonts w:ascii="仿宋_GB2312" w:hAnsi="仿宋" w:eastAsia="仿宋_GB2312" w:cs="仿宋"/>
          <w:sz w:val="32"/>
          <w:szCs w:val="32"/>
        </w:rPr>
        <w:t>42</w:t>
      </w:r>
      <w:r>
        <w:rPr>
          <w:rFonts w:hint="eastAsia" w:ascii="仿宋_GB2312" w:hAnsi="仿宋" w:eastAsia="仿宋_GB2312" w:cs="仿宋"/>
          <w:sz w:val="32"/>
          <w:szCs w:val="32"/>
        </w:rPr>
        <w:t>条。</w:t>
      </w:r>
    </w:p>
    <w:p w14:paraId="560EDEA6">
      <w:pPr>
        <w:widowControl/>
        <w:spacing w:line="560" w:lineRule="exact"/>
        <w:ind w:firstLine="640" w:firstLineChars="200"/>
        <w:jc w:val="left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三是推进重点领域信息公开。我局利用“中国常熟”政府门户网站，公布《中华人民共和国统计法实施条例》，公开行政执法制度、执法依据等内容，在执法过程中做到执法依据、要求、权利、义务全公开，保障执法对象的合法权益。同时，公布统计局</w:t>
      </w:r>
      <w:r>
        <w:rPr>
          <w:rFonts w:ascii="仿宋_GB2312" w:hAnsi="仿宋" w:eastAsia="仿宋_GB2312" w:cs="仿宋"/>
          <w:sz w:val="32"/>
          <w:szCs w:val="32"/>
        </w:rPr>
        <w:t>2018</w:t>
      </w:r>
      <w:r>
        <w:rPr>
          <w:rFonts w:hint="eastAsia" w:ascii="仿宋_GB2312" w:hAnsi="仿宋" w:eastAsia="仿宋_GB2312" w:cs="仿宋"/>
          <w:sz w:val="32"/>
          <w:szCs w:val="32"/>
        </w:rPr>
        <w:t>年部门决算和</w:t>
      </w:r>
      <w:r>
        <w:rPr>
          <w:rFonts w:ascii="仿宋_GB2312" w:hAnsi="仿宋" w:eastAsia="仿宋_GB2312" w:cs="仿宋"/>
          <w:sz w:val="32"/>
          <w:szCs w:val="32"/>
        </w:rPr>
        <w:t>2019</w:t>
      </w:r>
      <w:r>
        <w:rPr>
          <w:rFonts w:hint="eastAsia" w:ascii="仿宋_GB2312" w:hAnsi="仿宋" w:eastAsia="仿宋_GB2312" w:cs="仿宋"/>
          <w:sz w:val="32"/>
          <w:szCs w:val="32"/>
        </w:rPr>
        <w:t>年部门预算，使部门运行更加公开透明。</w:t>
      </w:r>
      <w:r>
        <w:rPr>
          <w:rFonts w:ascii="仿宋_GB2312" w:hAnsi="仿宋" w:eastAsia="仿宋_GB2312" w:cs="仿宋"/>
          <w:sz w:val="32"/>
          <w:szCs w:val="32"/>
        </w:rPr>
        <w:t xml:space="preserve"> </w:t>
      </w:r>
    </w:p>
    <w:p w14:paraId="2D8855BB">
      <w:pPr>
        <w:widowControl/>
        <w:spacing w:line="560" w:lineRule="exact"/>
        <w:ind w:firstLine="640" w:firstLineChars="200"/>
        <w:jc w:val="left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四是积极回应解读。</w:t>
      </w:r>
      <w:r>
        <w:rPr>
          <w:rFonts w:ascii="仿宋_GB2312" w:hAnsi="仿宋" w:eastAsia="仿宋_GB2312" w:cs="仿宋"/>
          <w:sz w:val="32"/>
          <w:szCs w:val="32"/>
        </w:rPr>
        <w:t>2019</w:t>
      </w:r>
      <w:r>
        <w:rPr>
          <w:rFonts w:hint="eastAsia" w:ascii="仿宋_GB2312" w:hAnsi="仿宋" w:eastAsia="仿宋_GB2312" w:cs="仿宋"/>
          <w:sz w:val="32"/>
          <w:szCs w:val="32"/>
        </w:rPr>
        <w:t>年，我局及时、认真办理寒山闻钟、在线咨询、部门信箱和“</w:t>
      </w:r>
      <w:r>
        <w:rPr>
          <w:rFonts w:ascii="仿宋_GB2312" w:hAnsi="仿宋" w:eastAsia="仿宋_GB2312" w:cs="仿宋"/>
          <w:sz w:val="32"/>
          <w:szCs w:val="32"/>
        </w:rPr>
        <w:t>12345</w:t>
      </w:r>
      <w:r>
        <w:rPr>
          <w:rFonts w:hint="eastAsia" w:ascii="仿宋_GB2312" w:hAnsi="仿宋" w:eastAsia="仿宋_GB2312" w:cs="仿宋"/>
          <w:sz w:val="32"/>
          <w:szCs w:val="32"/>
        </w:rPr>
        <w:t>”热线信箱等，积极回应社会公众关心的热点问题。</w:t>
      </w:r>
      <w:r>
        <w:rPr>
          <w:rFonts w:ascii="仿宋_GB2312" w:hAnsi="仿宋" w:eastAsia="仿宋_GB2312" w:cs="仿宋"/>
          <w:sz w:val="32"/>
          <w:szCs w:val="32"/>
        </w:rPr>
        <w:t>2019</w:t>
      </w:r>
      <w:r>
        <w:rPr>
          <w:rFonts w:hint="eastAsia" w:ascii="仿宋_GB2312" w:hAnsi="仿宋" w:eastAsia="仿宋_GB2312" w:cs="仿宋"/>
          <w:sz w:val="32"/>
          <w:szCs w:val="32"/>
        </w:rPr>
        <w:t>年累计办理相关事宜共</w:t>
      </w:r>
      <w:r>
        <w:rPr>
          <w:rFonts w:ascii="仿宋_GB2312" w:hAnsi="仿宋" w:eastAsia="仿宋_GB2312" w:cs="仿宋"/>
          <w:sz w:val="32"/>
          <w:szCs w:val="32"/>
        </w:rPr>
        <w:t>14</w:t>
      </w:r>
      <w:r>
        <w:rPr>
          <w:rFonts w:hint="eastAsia" w:ascii="仿宋_GB2312" w:hAnsi="仿宋" w:eastAsia="仿宋_GB2312" w:cs="仿宋"/>
          <w:sz w:val="32"/>
          <w:szCs w:val="32"/>
        </w:rPr>
        <w:t>条，回复率达到</w:t>
      </w:r>
      <w:r>
        <w:rPr>
          <w:rFonts w:ascii="仿宋_GB2312" w:hAnsi="仿宋" w:eastAsia="仿宋_GB2312" w:cs="仿宋"/>
          <w:sz w:val="32"/>
          <w:szCs w:val="32"/>
        </w:rPr>
        <w:t>100%</w:t>
      </w:r>
      <w:r>
        <w:rPr>
          <w:rFonts w:hint="eastAsia" w:ascii="仿宋_GB2312" w:hAnsi="仿宋" w:eastAsia="仿宋_GB2312" w:cs="仿宋"/>
          <w:sz w:val="32"/>
          <w:szCs w:val="32"/>
        </w:rPr>
        <w:t>，没有超期回复现象。</w:t>
      </w:r>
    </w:p>
    <w:p w14:paraId="69D9B4F2">
      <w:pPr>
        <w:widowControl/>
        <w:spacing w:line="560" w:lineRule="exact"/>
        <w:ind w:firstLine="640" w:firstLineChars="200"/>
        <w:jc w:val="left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五是强化监督考评。年初研究制定《常熟市统计局（队）微信公众平台信息发布管理办法》，明确微信公众平台信息发布的相关要求。同时，制定《关于</w:t>
      </w:r>
      <w:r>
        <w:rPr>
          <w:rFonts w:ascii="仿宋_GB2312" w:hAnsi="仿宋" w:eastAsia="仿宋_GB2312" w:cs="仿宋"/>
          <w:sz w:val="32"/>
          <w:szCs w:val="32"/>
        </w:rPr>
        <w:t>2019</w:t>
      </w:r>
      <w:r>
        <w:rPr>
          <w:rFonts w:hint="eastAsia" w:ascii="仿宋_GB2312" w:hAnsi="仿宋" w:eastAsia="仿宋_GB2312" w:cs="仿宋"/>
          <w:sz w:val="32"/>
          <w:szCs w:val="32"/>
        </w:rPr>
        <w:t>年机关岗位责任百分考核工作的意见》，将信息工作纳入对全体干部职工的年度考核。</w:t>
      </w:r>
    </w:p>
    <w:p w14:paraId="3EBCD76D">
      <w:pPr>
        <w:widowControl/>
        <w:spacing w:line="560" w:lineRule="exact"/>
        <w:ind w:firstLine="640" w:firstLineChars="200"/>
        <w:jc w:val="left"/>
        <w:rPr>
          <w:rFonts w:ascii="仿宋_GB2312" w:hAnsi="仿宋" w:eastAsia="仿宋_GB2312" w:cs="仿宋"/>
          <w:sz w:val="32"/>
          <w:szCs w:val="32"/>
        </w:rPr>
      </w:pPr>
      <w:r>
        <w:rPr>
          <w:rFonts w:ascii="仿宋_GB2312" w:hAnsi="仿宋" w:eastAsia="仿宋_GB2312" w:cs="仿宋"/>
          <w:sz w:val="32"/>
          <w:szCs w:val="32"/>
        </w:rPr>
        <w:t>2019</w:t>
      </w:r>
      <w:r>
        <w:rPr>
          <w:rFonts w:hint="eastAsia" w:ascii="仿宋_GB2312" w:hAnsi="仿宋" w:eastAsia="仿宋_GB2312" w:cs="仿宋"/>
          <w:sz w:val="32"/>
          <w:szCs w:val="32"/>
        </w:rPr>
        <w:t>年，全年未收取任何政府信息公开费用，未发生因政府信息公开申请行政复议、提起行政诉讼的情况。</w:t>
      </w:r>
    </w:p>
    <w:p w14:paraId="51EEB43D">
      <w:pPr>
        <w:widowControl/>
        <w:spacing w:line="56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二、主动公开政府信息情况</w:t>
      </w:r>
    </w:p>
    <w:tbl>
      <w:tblPr>
        <w:tblStyle w:val="5"/>
        <w:tblW w:w="952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39"/>
        <w:gridCol w:w="2055"/>
        <w:gridCol w:w="1878"/>
        <w:gridCol w:w="2550"/>
      </w:tblGrid>
      <w:tr w14:paraId="5CBD1DA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9522" w:type="dxa"/>
            <w:gridSpan w:val="4"/>
            <w:shd w:val="clear" w:color="auto" w:fill="FFFFFF"/>
            <w:vAlign w:val="center"/>
          </w:tcPr>
          <w:p w14:paraId="2385FCB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第二十条第（一）项</w:t>
            </w:r>
          </w:p>
        </w:tc>
      </w:tr>
      <w:tr w14:paraId="35D7E35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3807B53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信息内容</w:t>
            </w:r>
          </w:p>
        </w:tc>
        <w:tc>
          <w:tcPr>
            <w:tcW w:w="2055" w:type="dxa"/>
            <w:shd w:val="clear" w:color="auto" w:fill="FFFFFF"/>
            <w:vAlign w:val="center"/>
          </w:tcPr>
          <w:p w14:paraId="2B500F37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本年新制作数量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6FE2D622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本年新公开数量</w:t>
            </w:r>
          </w:p>
        </w:tc>
        <w:tc>
          <w:tcPr>
            <w:tcW w:w="2550" w:type="dxa"/>
            <w:shd w:val="clear" w:color="auto" w:fill="FFFFFF"/>
            <w:vAlign w:val="center"/>
          </w:tcPr>
          <w:p w14:paraId="6BF648E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对外公开总数量</w:t>
            </w:r>
          </w:p>
        </w:tc>
      </w:tr>
      <w:tr w14:paraId="080BBE5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3EB8937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规章</w:t>
            </w:r>
          </w:p>
        </w:tc>
        <w:tc>
          <w:tcPr>
            <w:tcW w:w="2055" w:type="dxa"/>
            <w:shd w:val="clear" w:color="auto" w:fill="FFFFFF"/>
            <w:vAlign w:val="center"/>
          </w:tcPr>
          <w:p w14:paraId="1D5F0CB7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63ED5BA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2550" w:type="dxa"/>
            <w:shd w:val="clear" w:color="auto" w:fill="FFFFFF"/>
            <w:vAlign w:val="center"/>
          </w:tcPr>
          <w:p w14:paraId="1024A18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0491F5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00E7D612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规范性文件</w:t>
            </w:r>
          </w:p>
        </w:tc>
        <w:tc>
          <w:tcPr>
            <w:tcW w:w="2055" w:type="dxa"/>
            <w:shd w:val="clear" w:color="auto" w:fill="FFFFFF"/>
            <w:vAlign w:val="center"/>
          </w:tcPr>
          <w:p w14:paraId="15590672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52918D13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2550" w:type="dxa"/>
            <w:shd w:val="clear" w:color="auto" w:fill="FFFFFF"/>
            <w:vAlign w:val="center"/>
          </w:tcPr>
          <w:p w14:paraId="2AC0AC17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42B682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9522" w:type="dxa"/>
            <w:gridSpan w:val="4"/>
            <w:shd w:val="clear" w:color="auto" w:fill="FFFFFF"/>
            <w:vAlign w:val="center"/>
          </w:tcPr>
          <w:p w14:paraId="5F888451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第二十条第（五）项</w:t>
            </w:r>
          </w:p>
        </w:tc>
      </w:tr>
      <w:tr w14:paraId="207E950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149A7F51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信息内容</w:t>
            </w:r>
          </w:p>
        </w:tc>
        <w:tc>
          <w:tcPr>
            <w:tcW w:w="2055" w:type="dxa"/>
            <w:shd w:val="clear" w:color="auto" w:fill="FFFFFF"/>
            <w:vAlign w:val="center"/>
          </w:tcPr>
          <w:p w14:paraId="43948E2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上一年项目数量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43AAD48F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本年增</w:t>
            </w:r>
            <w:r>
              <w:rPr>
                <w:rFonts w:ascii="仿宋" w:hAnsi="仿宋" w:eastAsia="仿宋" w:cs="仿宋"/>
                <w:kern w:val="0"/>
                <w:sz w:val="24"/>
              </w:rPr>
              <w:t>/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减</w:t>
            </w:r>
          </w:p>
        </w:tc>
        <w:tc>
          <w:tcPr>
            <w:tcW w:w="2550" w:type="dxa"/>
            <w:shd w:val="clear" w:color="auto" w:fill="FFFFFF"/>
            <w:vAlign w:val="center"/>
          </w:tcPr>
          <w:p w14:paraId="26F5F4B2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处理决定数量</w:t>
            </w:r>
          </w:p>
        </w:tc>
      </w:tr>
      <w:tr w14:paraId="480800B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01A4959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行政许可</w:t>
            </w:r>
          </w:p>
        </w:tc>
        <w:tc>
          <w:tcPr>
            <w:tcW w:w="2055" w:type="dxa"/>
            <w:shd w:val="clear" w:color="auto" w:fill="FFFFFF"/>
            <w:vAlign w:val="center"/>
          </w:tcPr>
          <w:p w14:paraId="4057DC1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6CAB0C09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2550" w:type="dxa"/>
            <w:shd w:val="clear" w:color="auto" w:fill="FFFFFF"/>
            <w:vAlign w:val="center"/>
          </w:tcPr>
          <w:p w14:paraId="42F8AAEE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163E0DC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2B371B0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其他对外管理服务事项</w:t>
            </w:r>
          </w:p>
        </w:tc>
        <w:tc>
          <w:tcPr>
            <w:tcW w:w="2055" w:type="dxa"/>
            <w:shd w:val="clear" w:color="auto" w:fill="FFFFFF"/>
            <w:vAlign w:val="center"/>
          </w:tcPr>
          <w:p w14:paraId="131E09C3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08A33CB7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2550" w:type="dxa"/>
            <w:shd w:val="clear" w:color="auto" w:fill="FFFFFF"/>
            <w:vAlign w:val="center"/>
          </w:tcPr>
          <w:p w14:paraId="0DA6D885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7FBB886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9522" w:type="dxa"/>
            <w:gridSpan w:val="4"/>
            <w:shd w:val="clear" w:color="auto" w:fill="FFFFFF"/>
            <w:vAlign w:val="center"/>
          </w:tcPr>
          <w:p w14:paraId="1A1F472F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第二十条第（六）项</w:t>
            </w:r>
          </w:p>
        </w:tc>
      </w:tr>
      <w:tr w14:paraId="3F28A5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47C6405F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信息内容</w:t>
            </w:r>
          </w:p>
        </w:tc>
        <w:tc>
          <w:tcPr>
            <w:tcW w:w="2055" w:type="dxa"/>
            <w:shd w:val="clear" w:color="auto" w:fill="FFFFFF"/>
            <w:vAlign w:val="center"/>
          </w:tcPr>
          <w:p w14:paraId="722D329E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上一年项目数量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3356C75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本年增</w:t>
            </w:r>
            <w:r>
              <w:rPr>
                <w:rFonts w:ascii="仿宋" w:hAnsi="仿宋" w:eastAsia="仿宋" w:cs="仿宋"/>
                <w:kern w:val="0"/>
                <w:sz w:val="24"/>
              </w:rPr>
              <w:t>/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减</w:t>
            </w:r>
          </w:p>
        </w:tc>
        <w:tc>
          <w:tcPr>
            <w:tcW w:w="2550" w:type="dxa"/>
            <w:shd w:val="clear" w:color="auto" w:fill="FFFFFF"/>
            <w:vAlign w:val="center"/>
          </w:tcPr>
          <w:p w14:paraId="7EB1482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处理决定数量</w:t>
            </w:r>
          </w:p>
        </w:tc>
      </w:tr>
      <w:tr w14:paraId="2568B0C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0E8093C1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行政处罚</w:t>
            </w:r>
          </w:p>
        </w:tc>
        <w:tc>
          <w:tcPr>
            <w:tcW w:w="2055" w:type="dxa"/>
            <w:shd w:val="clear" w:color="auto" w:fill="FFFFFF"/>
            <w:vAlign w:val="center"/>
          </w:tcPr>
          <w:p w14:paraId="64269A77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3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3ADE1AE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2550" w:type="dxa"/>
            <w:shd w:val="clear" w:color="auto" w:fill="FFFFFF"/>
            <w:vAlign w:val="center"/>
          </w:tcPr>
          <w:p w14:paraId="60A63912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1A27AC4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5A8A268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行政强制</w:t>
            </w:r>
          </w:p>
        </w:tc>
        <w:tc>
          <w:tcPr>
            <w:tcW w:w="2055" w:type="dxa"/>
            <w:shd w:val="clear" w:color="auto" w:fill="FFFFFF"/>
            <w:vAlign w:val="center"/>
          </w:tcPr>
          <w:p w14:paraId="1785486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46022376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2550" w:type="dxa"/>
            <w:shd w:val="clear" w:color="auto" w:fill="FFFFFF"/>
            <w:vAlign w:val="center"/>
          </w:tcPr>
          <w:p w14:paraId="39DC55B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3283719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9522" w:type="dxa"/>
            <w:gridSpan w:val="4"/>
            <w:shd w:val="clear" w:color="auto" w:fill="FFFFFF"/>
            <w:vAlign w:val="center"/>
          </w:tcPr>
          <w:p w14:paraId="5F3C42A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第二十条（八）项</w:t>
            </w:r>
          </w:p>
        </w:tc>
      </w:tr>
      <w:tr w14:paraId="2222B3A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756A046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信息内容</w:t>
            </w:r>
          </w:p>
        </w:tc>
        <w:tc>
          <w:tcPr>
            <w:tcW w:w="2055" w:type="dxa"/>
            <w:shd w:val="clear" w:color="auto" w:fill="FFFFFF"/>
            <w:vAlign w:val="center"/>
          </w:tcPr>
          <w:p w14:paraId="755FA663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上一年项目数量</w:t>
            </w:r>
          </w:p>
        </w:tc>
        <w:tc>
          <w:tcPr>
            <w:tcW w:w="4428" w:type="dxa"/>
            <w:gridSpan w:val="2"/>
            <w:shd w:val="clear" w:color="auto" w:fill="FFFFFF"/>
            <w:vAlign w:val="center"/>
          </w:tcPr>
          <w:p w14:paraId="7722065F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本年增</w:t>
            </w:r>
            <w:r>
              <w:rPr>
                <w:rFonts w:ascii="仿宋" w:hAnsi="仿宋" w:eastAsia="仿宋" w:cs="仿宋"/>
                <w:kern w:val="0"/>
                <w:sz w:val="24"/>
              </w:rPr>
              <w:t>/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减</w:t>
            </w:r>
          </w:p>
        </w:tc>
      </w:tr>
      <w:tr w14:paraId="4F39A1F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009DEA5E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行政事业性收费</w:t>
            </w:r>
          </w:p>
        </w:tc>
        <w:tc>
          <w:tcPr>
            <w:tcW w:w="2055" w:type="dxa"/>
            <w:shd w:val="clear" w:color="auto" w:fill="FFFFFF"/>
            <w:vAlign w:val="center"/>
          </w:tcPr>
          <w:p w14:paraId="52762FA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4428" w:type="dxa"/>
            <w:gridSpan w:val="2"/>
            <w:shd w:val="clear" w:color="auto" w:fill="FFFFFF"/>
            <w:vAlign w:val="center"/>
          </w:tcPr>
          <w:p w14:paraId="7865750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1E0CAB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9522" w:type="dxa"/>
            <w:gridSpan w:val="4"/>
            <w:shd w:val="clear" w:color="auto" w:fill="FFFFFF"/>
            <w:vAlign w:val="center"/>
          </w:tcPr>
          <w:p w14:paraId="32A1FA45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第二十条第（九）项</w:t>
            </w:r>
          </w:p>
        </w:tc>
      </w:tr>
      <w:tr w14:paraId="278467C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19862FC2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信息内容</w:t>
            </w:r>
          </w:p>
        </w:tc>
        <w:tc>
          <w:tcPr>
            <w:tcW w:w="2055" w:type="dxa"/>
            <w:shd w:val="clear" w:color="auto" w:fill="FFFFFF"/>
            <w:vAlign w:val="center"/>
          </w:tcPr>
          <w:p w14:paraId="103723A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采购项目数量</w:t>
            </w:r>
          </w:p>
        </w:tc>
        <w:tc>
          <w:tcPr>
            <w:tcW w:w="4428" w:type="dxa"/>
            <w:gridSpan w:val="2"/>
            <w:shd w:val="clear" w:color="auto" w:fill="FFFFFF"/>
            <w:vAlign w:val="center"/>
          </w:tcPr>
          <w:p w14:paraId="5D3DC152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采购总金额</w:t>
            </w:r>
          </w:p>
        </w:tc>
      </w:tr>
      <w:tr w14:paraId="4019A53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14550EE9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政府集中采购</w:t>
            </w:r>
          </w:p>
        </w:tc>
        <w:tc>
          <w:tcPr>
            <w:tcW w:w="2055" w:type="dxa"/>
            <w:shd w:val="clear" w:color="auto" w:fill="FFFFFF"/>
            <w:vAlign w:val="center"/>
          </w:tcPr>
          <w:p w14:paraId="50317C63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4428" w:type="dxa"/>
            <w:gridSpan w:val="2"/>
            <w:shd w:val="clear" w:color="auto" w:fill="FFFFFF"/>
            <w:vAlign w:val="center"/>
          </w:tcPr>
          <w:p w14:paraId="3143009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</w:tbl>
    <w:p w14:paraId="12FB8058">
      <w:pPr>
        <w:widowControl/>
        <w:spacing w:line="56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 </w:t>
      </w:r>
      <w:r>
        <w:rPr>
          <w:rFonts w:hint="eastAsia" w:ascii="黑体" w:hAnsi="黑体" w:eastAsia="黑体" w:cs="黑体"/>
          <w:sz w:val="32"/>
          <w:szCs w:val="32"/>
        </w:rPr>
        <w:t>三、收到和处理政府信息公开申请情况</w:t>
      </w:r>
    </w:p>
    <w:tbl>
      <w:tblPr>
        <w:tblStyle w:val="5"/>
        <w:tblW w:w="9599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8"/>
        <w:gridCol w:w="1613"/>
        <w:gridCol w:w="3071"/>
        <w:gridCol w:w="786"/>
        <w:gridCol w:w="684"/>
        <w:gridCol w:w="513"/>
        <w:gridCol w:w="602"/>
        <w:gridCol w:w="566"/>
        <w:gridCol w:w="566"/>
        <w:gridCol w:w="540"/>
      </w:tblGrid>
      <w:tr w14:paraId="3C9C255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342" w:type="dxa"/>
            <w:gridSpan w:val="3"/>
            <w:vMerge w:val="restart"/>
            <w:shd w:val="clear" w:color="auto" w:fill="FFFFFF"/>
            <w:vAlign w:val="center"/>
          </w:tcPr>
          <w:p w14:paraId="39364D8E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（本列数据的勾稽关系为：第一项加第二项之和，等于第三项加第四项之和）</w:t>
            </w:r>
          </w:p>
        </w:tc>
        <w:tc>
          <w:tcPr>
            <w:tcW w:w="4257" w:type="dxa"/>
            <w:gridSpan w:val="7"/>
            <w:shd w:val="clear" w:color="auto" w:fill="FFFFFF"/>
            <w:vAlign w:val="center"/>
          </w:tcPr>
          <w:p w14:paraId="290F8413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申请人情况</w:t>
            </w:r>
          </w:p>
        </w:tc>
      </w:tr>
      <w:tr w14:paraId="6CBEF21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342" w:type="dxa"/>
            <w:gridSpan w:val="3"/>
            <w:vMerge w:val="continue"/>
            <w:shd w:val="clear" w:color="auto" w:fill="FFFFFF"/>
            <w:vAlign w:val="center"/>
          </w:tcPr>
          <w:p w14:paraId="355B4AD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86" w:type="dxa"/>
            <w:vMerge w:val="restart"/>
            <w:shd w:val="clear" w:color="auto" w:fill="FFFFFF"/>
            <w:vAlign w:val="center"/>
          </w:tcPr>
          <w:p w14:paraId="1703478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自然人</w:t>
            </w:r>
          </w:p>
        </w:tc>
        <w:tc>
          <w:tcPr>
            <w:tcW w:w="2931" w:type="dxa"/>
            <w:gridSpan w:val="5"/>
            <w:shd w:val="clear" w:color="auto" w:fill="FFFFFF"/>
            <w:vAlign w:val="center"/>
          </w:tcPr>
          <w:p w14:paraId="5A94D81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法人或其他组织</w:t>
            </w:r>
          </w:p>
        </w:tc>
        <w:tc>
          <w:tcPr>
            <w:tcW w:w="540" w:type="dxa"/>
            <w:vMerge w:val="restart"/>
            <w:shd w:val="clear" w:color="auto" w:fill="FFFFFF"/>
            <w:vAlign w:val="center"/>
          </w:tcPr>
          <w:p w14:paraId="2473F34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总计</w:t>
            </w:r>
          </w:p>
        </w:tc>
      </w:tr>
      <w:tr w14:paraId="3357C32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342" w:type="dxa"/>
            <w:gridSpan w:val="3"/>
            <w:vMerge w:val="continue"/>
            <w:shd w:val="clear" w:color="auto" w:fill="FFFFFF"/>
            <w:vAlign w:val="center"/>
          </w:tcPr>
          <w:p w14:paraId="08CDE41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86" w:type="dxa"/>
            <w:vMerge w:val="continue"/>
            <w:shd w:val="clear" w:color="auto" w:fill="FFFFFF"/>
            <w:vAlign w:val="center"/>
          </w:tcPr>
          <w:p w14:paraId="1EADE16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684" w:type="dxa"/>
            <w:shd w:val="clear" w:color="auto" w:fill="FFFFFF"/>
            <w:vAlign w:val="center"/>
          </w:tcPr>
          <w:p w14:paraId="7C554E2F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商业企业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56D3D859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科研机构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19CD708D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社会公益组织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57892FE6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法律服务机构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7A55CD5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其他</w:t>
            </w:r>
          </w:p>
        </w:tc>
        <w:tc>
          <w:tcPr>
            <w:tcW w:w="540" w:type="dxa"/>
            <w:vMerge w:val="continue"/>
            <w:shd w:val="clear" w:color="auto" w:fill="FFFFFF"/>
            <w:vAlign w:val="center"/>
          </w:tcPr>
          <w:p w14:paraId="5CA4774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5CC62B9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342" w:type="dxa"/>
            <w:gridSpan w:val="3"/>
            <w:shd w:val="clear" w:color="auto" w:fill="FFFFFF"/>
            <w:vAlign w:val="center"/>
          </w:tcPr>
          <w:p w14:paraId="44CF1AD1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一、本年新收政府信息公开申请数量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34DD4FC1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14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7771093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5327DA8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286E9A07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6D88BCC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2FA32156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7F0AEE3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08951F5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342" w:type="dxa"/>
            <w:gridSpan w:val="3"/>
            <w:shd w:val="clear" w:color="auto" w:fill="FFFFFF"/>
            <w:vAlign w:val="center"/>
          </w:tcPr>
          <w:p w14:paraId="4E76B820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二、上年结转政府信息公开申请数量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4231CF59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43E496B6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6E656D3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1319AFA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749BF9C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590A6AE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6B84490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42D37F8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restart"/>
            <w:shd w:val="clear" w:color="auto" w:fill="FFFFFF"/>
            <w:vAlign w:val="center"/>
          </w:tcPr>
          <w:p w14:paraId="12D051DF">
            <w:pPr>
              <w:widowControl/>
              <w:spacing w:line="24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三</w:t>
            </w:r>
          </w:p>
          <w:p w14:paraId="0DFD2E51">
            <w:pPr>
              <w:widowControl/>
              <w:spacing w:line="24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、</w:t>
            </w:r>
          </w:p>
          <w:p w14:paraId="2A436136">
            <w:pPr>
              <w:widowControl/>
              <w:spacing w:line="24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本</w:t>
            </w:r>
          </w:p>
          <w:p w14:paraId="617E53C1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年</w:t>
            </w:r>
          </w:p>
          <w:p w14:paraId="2B75B58F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度</w:t>
            </w:r>
          </w:p>
          <w:p w14:paraId="3DC8AC41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办</w:t>
            </w:r>
          </w:p>
          <w:p w14:paraId="5008FDBB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理</w:t>
            </w:r>
          </w:p>
          <w:p w14:paraId="777A67D1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结</w:t>
            </w:r>
          </w:p>
          <w:p w14:paraId="4118D5C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果</w:t>
            </w:r>
          </w:p>
        </w:tc>
        <w:tc>
          <w:tcPr>
            <w:tcW w:w="4684" w:type="dxa"/>
            <w:gridSpan w:val="2"/>
            <w:shd w:val="clear" w:color="auto" w:fill="FFFFFF"/>
            <w:vAlign w:val="center"/>
          </w:tcPr>
          <w:p w14:paraId="0D430FB8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（一）予以公开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099A49EE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14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62B96425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3C0B9DE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4799AC9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05D0794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2EE1B057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37CE92E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4C4373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2F068D0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684" w:type="dxa"/>
            <w:gridSpan w:val="2"/>
            <w:shd w:val="clear" w:color="auto" w:fill="FFFFFF"/>
            <w:vAlign w:val="center"/>
          </w:tcPr>
          <w:p w14:paraId="4AE734E8">
            <w:pPr>
              <w:widowControl/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（二）部分公开（区分处理的，只认这一情形，不计其他情形）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2EB9D11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39F67CC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1085461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5555230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745A228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79369A46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5BDA4F1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090FD6C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5A94708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13" w:type="dxa"/>
            <w:vMerge w:val="restart"/>
            <w:shd w:val="clear" w:color="auto" w:fill="FFFFFF"/>
            <w:vAlign w:val="center"/>
          </w:tcPr>
          <w:p w14:paraId="6A92FCB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（三）不予公开</w:t>
            </w:r>
          </w:p>
        </w:tc>
        <w:tc>
          <w:tcPr>
            <w:tcW w:w="3071" w:type="dxa"/>
            <w:shd w:val="clear" w:color="auto" w:fill="FFFFFF"/>
            <w:vAlign w:val="center"/>
          </w:tcPr>
          <w:p w14:paraId="39AECC3D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1.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属于国家秘密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534E39F2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270ADF0E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3CEFF9AE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0986B9A2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3B7C52B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7E26E526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029F25B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234F1AD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0D8775A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5BB1355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1D30C3A8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2.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其他法律行政法规禁止公开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5616463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471B2631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61713CA5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1EB2603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0FFD779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CB9ADC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7273B86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1765E2D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7A25FC8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1BE3490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0BBBC066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3.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危及“三安全一稳定”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553BFBDF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5E6C416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7B913B0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215FD6B1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4FC3F1E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5B76C93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25248756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46E9E8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2559F78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781F3ED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52512585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4.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保护第三方合法权益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590592D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0AB41F4E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618CD647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6481B343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7BF9760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05CD8C22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29051EC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12C5BCE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010577E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33B0CB3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3146A318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5.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属于三类内部事务信息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67A9EE93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66FB8EC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6353D4B3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1ED26BB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7DDF3C21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67302979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70818F3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4712F8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3564D2D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2C0E42B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1BA4F729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6.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属于四类过程性信息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4F81212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3C5403C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66E724C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4A9E67D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01801CF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3436A645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132383D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69D402C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036A730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53A99E4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2C4C3BA0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7.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属于行政执法案卷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00DF260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7F197E0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65EFD8C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07057DC2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2BB26ABE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44FD75F6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0A9D2FE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789EF9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6584ACE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6BCBB7C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4E5D813A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8.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属于行政查询事项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26BD3991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3DBB269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2398DD7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51CC5E96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495627E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612CF86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08B74F5E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15B15CE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06C3792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13" w:type="dxa"/>
            <w:vMerge w:val="restart"/>
            <w:shd w:val="clear" w:color="auto" w:fill="FFFFFF"/>
            <w:vAlign w:val="center"/>
          </w:tcPr>
          <w:p w14:paraId="1846308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（四）无法提供</w:t>
            </w:r>
          </w:p>
        </w:tc>
        <w:tc>
          <w:tcPr>
            <w:tcW w:w="3071" w:type="dxa"/>
            <w:shd w:val="clear" w:color="auto" w:fill="FFFFFF"/>
            <w:vAlign w:val="center"/>
          </w:tcPr>
          <w:p w14:paraId="46430C92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1.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本机关不掌握相关政府信息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02C856C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0123BD47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2518384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3126157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610F390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4C758E86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6FEF3F9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3053B77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7AE934E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7768E86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42111398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2.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没有现成信息需要另行制作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51A41945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4BA2C939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3D87F9C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726B97A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DD8CD1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59C09D2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06270423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025C57A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351E3E0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6DD9ACE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150776B6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3.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补正后申请内容仍不明确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56B481D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3DCFB529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14CA84E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6ADBC6C5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43E69381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821E99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1C09ED15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761AA6A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6599F70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13" w:type="dxa"/>
            <w:vMerge w:val="restart"/>
            <w:shd w:val="clear" w:color="auto" w:fill="FFFFFF"/>
            <w:vAlign w:val="center"/>
          </w:tcPr>
          <w:p w14:paraId="06FB8AE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（五）不予处理</w:t>
            </w:r>
          </w:p>
        </w:tc>
        <w:tc>
          <w:tcPr>
            <w:tcW w:w="3071" w:type="dxa"/>
            <w:shd w:val="clear" w:color="auto" w:fill="FFFFFF"/>
            <w:vAlign w:val="center"/>
          </w:tcPr>
          <w:p w14:paraId="50770880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1.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信访举报投诉类申请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0058CB9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5261A3B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456162F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091987FF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472FF91F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7667AC16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24D4E0B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41FF813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34E2600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6F8272E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1D25C5E1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2.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重复申请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3A65B82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08DA394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03097CB2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48DE2B6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0E5E2311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73491F3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7086B5F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1C5290E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78A630B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0B2D9E9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11CC578E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3.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要求提供公开出版物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006C8FE5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6F6FD19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1493D33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11BCA8FE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2EC858E6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76727BCF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7E6D8DE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17A8C20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56024D3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2C90552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662F78FF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4.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无正当理由大量反复申请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00AD1881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13EA693F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5965DCC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6DD9C9C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4724E7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485C654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0A30CB73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39EE837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1D2A42D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6DF2B03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57D714EB">
            <w:pPr>
              <w:widowControl/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5.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要求行政机关确认或重新出具已获取信息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66554CE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67FB3B6F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5F786EE7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1BE974B5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62224621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0DC3402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3B0C01B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3396FE5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4078202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684" w:type="dxa"/>
            <w:gridSpan w:val="2"/>
            <w:shd w:val="clear" w:color="auto" w:fill="FFFFFF"/>
            <w:vAlign w:val="center"/>
          </w:tcPr>
          <w:p w14:paraId="346CEA51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（六）其他处理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52BE700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68D5124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23982BA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7319562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6CEC93A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77361EC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577BF72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0FC9D9C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16CA990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684" w:type="dxa"/>
            <w:gridSpan w:val="2"/>
            <w:shd w:val="clear" w:color="auto" w:fill="FFFFFF"/>
            <w:vAlign w:val="center"/>
          </w:tcPr>
          <w:p w14:paraId="2C01AAD0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（七）总计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04DC83E6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127DCD0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05C6CEC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0A77B2A1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38645B8F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DD30056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37C2F8C9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  <w:tr w14:paraId="3378B12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342" w:type="dxa"/>
            <w:gridSpan w:val="3"/>
            <w:shd w:val="clear" w:color="auto" w:fill="FFFFFF"/>
            <w:vAlign w:val="center"/>
          </w:tcPr>
          <w:p w14:paraId="27751B4F"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四、结转下年度继续办理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18B69D4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360456D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2B8C3E0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260C7716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3AAA01FE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4109C5C9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6DA4C6E5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</w:tbl>
    <w:p w14:paraId="46AE1E2F">
      <w:pPr>
        <w:widowControl/>
        <w:spacing w:line="56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四、政府信息公开行政复议、行政诉讼情况</w:t>
      </w:r>
    </w:p>
    <w:tbl>
      <w:tblPr>
        <w:tblStyle w:val="5"/>
        <w:tblW w:w="9587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69"/>
        <w:gridCol w:w="700"/>
        <w:gridCol w:w="652"/>
        <w:gridCol w:w="583"/>
        <w:gridCol w:w="632"/>
        <w:gridCol w:w="651"/>
        <w:gridCol w:w="634"/>
        <w:gridCol w:w="600"/>
        <w:gridCol w:w="666"/>
        <w:gridCol w:w="700"/>
        <w:gridCol w:w="650"/>
        <w:gridCol w:w="667"/>
        <w:gridCol w:w="550"/>
        <w:gridCol w:w="583"/>
        <w:gridCol w:w="650"/>
      </w:tblGrid>
      <w:tr w14:paraId="65C1717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3236" w:type="dxa"/>
            <w:gridSpan w:val="5"/>
            <w:shd w:val="clear" w:color="auto" w:fill="FFFFFF"/>
            <w:vAlign w:val="center"/>
          </w:tcPr>
          <w:p w14:paraId="16C44ACF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行政复议</w:t>
            </w:r>
          </w:p>
        </w:tc>
        <w:tc>
          <w:tcPr>
            <w:tcW w:w="6351" w:type="dxa"/>
            <w:gridSpan w:val="10"/>
            <w:shd w:val="clear" w:color="auto" w:fill="FFFFFF"/>
            <w:vAlign w:val="center"/>
          </w:tcPr>
          <w:p w14:paraId="215CD72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行政诉讼</w:t>
            </w:r>
          </w:p>
        </w:tc>
      </w:tr>
      <w:tr w14:paraId="51FA50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669" w:type="dxa"/>
            <w:vMerge w:val="restart"/>
            <w:shd w:val="clear" w:color="auto" w:fill="FFFFFF"/>
            <w:vAlign w:val="center"/>
          </w:tcPr>
          <w:p w14:paraId="7843481A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结果维持</w:t>
            </w:r>
          </w:p>
        </w:tc>
        <w:tc>
          <w:tcPr>
            <w:tcW w:w="700" w:type="dxa"/>
            <w:vMerge w:val="restart"/>
            <w:shd w:val="clear" w:color="auto" w:fill="FFFFFF"/>
            <w:vAlign w:val="center"/>
          </w:tcPr>
          <w:p w14:paraId="0C7F516C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结果纠正</w:t>
            </w:r>
          </w:p>
        </w:tc>
        <w:tc>
          <w:tcPr>
            <w:tcW w:w="652" w:type="dxa"/>
            <w:vMerge w:val="restart"/>
            <w:shd w:val="clear" w:color="auto" w:fill="FFFFFF"/>
            <w:vAlign w:val="center"/>
          </w:tcPr>
          <w:p w14:paraId="3199B3FE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其他结果</w:t>
            </w:r>
          </w:p>
        </w:tc>
        <w:tc>
          <w:tcPr>
            <w:tcW w:w="583" w:type="dxa"/>
            <w:vMerge w:val="restart"/>
            <w:shd w:val="clear" w:color="auto" w:fill="FFFFFF"/>
            <w:vAlign w:val="center"/>
          </w:tcPr>
          <w:p w14:paraId="0326F301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尚未审结</w:t>
            </w:r>
          </w:p>
        </w:tc>
        <w:tc>
          <w:tcPr>
            <w:tcW w:w="632" w:type="dxa"/>
            <w:vMerge w:val="restart"/>
            <w:shd w:val="clear" w:color="auto" w:fill="FFFFFF"/>
            <w:vAlign w:val="center"/>
          </w:tcPr>
          <w:p w14:paraId="711F4AEC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总计</w:t>
            </w:r>
            <w:r>
              <w:rPr>
                <w:rFonts w:ascii="仿宋" w:hAnsi="仿宋" w:eastAsia="仿宋" w:cs="仿宋"/>
                <w:kern w:val="0"/>
                <w:sz w:val="24"/>
              </w:rPr>
              <w:br w:type="textWrapping"/>
            </w:r>
          </w:p>
        </w:tc>
        <w:tc>
          <w:tcPr>
            <w:tcW w:w="3251" w:type="dxa"/>
            <w:gridSpan w:val="5"/>
            <w:shd w:val="clear" w:color="auto" w:fill="FFFFFF"/>
            <w:vAlign w:val="center"/>
          </w:tcPr>
          <w:p w14:paraId="5DD75E7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未经复议直接起诉</w:t>
            </w:r>
          </w:p>
        </w:tc>
        <w:tc>
          <w:tcPr>
            <w:tcW w:w="3100" w:type="dxa"/>
            <w:gridSpan w:val="5"/>
            <w:shd w:val="clear" w:color="auto" w:fill="FFFFFF"/>
            <w:vAlign w:val="center"/>
          </w:tcPr>
          <w:p w14:paraId="7348E028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复议后起诉</w:t>
            </w:r>
          </w:p>
        </w:tc>
      </w:tr>
      <w:tr w14:paraId="6542BDB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1" w:hRule="atLeast"/>
          <w:jc w:val="center"/>
        </w:trPr>
        <w:tc>
          <w:tcPr>
            <w:tcW w:w="669" w:type="dxa"/>
            <w:vMerge w:val="continue"/>
            <w:shd w:val="clear" w:color="auto" w:fill="FFFFFF"/>
            <w:vAlign w:val="center"/>
          </w:tcPr>
          <w:p w14:paraId="1EFA60F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00" w:type="dxa"/>
            <w:vMerge w:val="continue"/>
            <w:shd w:val="clear" w:color="auto" w:fill="FFFFFF"/>
            <w:vAlign w:val="center"/>
          </w:tcPr>
          <w:p w14:paraId="243B8CD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652" w:type="dxa"/>
            <w:vMerge w:val="continue"/>
            <w:shd w:val="clear" w:color="auto" w:fill="FFFFFF"/>
            <w:vAlign w:val="center"/>
          </w:tcPr>
          <w:p w14:paraId="4D14CBD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583" w:type="dxa"/>
            <w:vMerge w:val="continue"/>
            <w:shd w:val="clear" w:color="auto" w:fill="FFFFFF"/>
            <w:vAlign w:val="center"/>
          </w:tcPr>
          <w:p w14:paraId="2708A9E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632" w:type="dxa"/>
            <w:vMerge w:val="continue"/>
            <w:shd w:val="clear" w:color="auto" w:fill="FFFFFF"/>
            <w:vAlign w:val="center"/>
          </w:tcPr>
          <w:p w14:paraId="698F04D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651" w:type="dxa"/>
            <w:shd w:val="clear" w:color="auto" w:fill="FFFFFF"/>
            <w:vAlign w:val="center"/>
          </w:tcPr>
          <w:p w14:paraId="0E7D1A14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结果维持</w:t>
            </w:r>
          </w:p>
        </w:tc>
        <w:tc>
          <w:tcPr>
            <w:tcW w:w="634" w:type="dxa"/>
            <w:shd w:val="clear" w:color="auto" w:fill="FFFFFF"/>
            <w:vAlign w:val="center"/>
          </w:tcPr>
          <w:p w14:paraId="30708E9E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结果纠正</w:t>
            </w:r>
          </w:p>
        </w:tc>
        <w:tc>
          <w:tcPr>
            <w:tcW w:w="600" w:type="dxa"/>
            <w:shd w:val="clear" w:color="auto" w:fill="FFFFFF"/>
            <w:vAlign w:val="center"/>
          </w:tcPr>
          <w:p w14:paraId="2A85186B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其他结果</w:t>
            </w:r>
          </w:p>
        </w:tc>
        <w:tc>
          <w:tcPr>
            <w:tcW w:w="666" w:type="dxa"/>
            <w:shd w:val="clear" w:color="auto" w:fill="FFFFFF"/>
            <w:vAlign w:val="center"/>
          </w:tcPr>
          <w:p w14:paraId="067029CD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尚未审结</w:t>
            </w:r>
          </w:p>
        </w:tc>
        <w:tc>
          <w:tcPr>
            <w:tcW w:w="700" w:type="dxa"/>
            <w:shd w:val="clear" w:color="auto" w:fill="FFFFFF"/>
            <w:vAlign w:val="center"/>
          </w:tcPr>
          <w:p w14:paraId="56F0EF1A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总计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25C890E2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结果维持</w:t>
            </w:r>
          </w:p>
        </w:tc>
        <w:tc>
          <w:tcPr>
            <w:tcW w:w="667" w:type="dxa"/>
            <w:shd w:val="clear" w:color="auto" w:fill="FFFFFF"/>
            <w:vAlign w:val="center"/>
          </w:tcPr>
          <w:p w14:paraId="298E2651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结果纠正</w:t>
            </w:r>
          </w:p>
        </w:tc>
        <w:tc>
          <w:tcPr>
            <w:tcW w:w="550" w:type="dxa"/>
            <w:shd w:val="clear" w:color="auto" w:fill="FFFFFF"/>
            <w:vAlign w:val="center"/>
          </w:tcPr>
          <w:p w14:paraId="1A415D72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其他结果</w:t>
            </w:r>
          </w:p>
        </w:tc>
        <w:tc>
          <w:tcPr>
            <w:tcW w:w="583" w:type="dxa"/>
            <w:shd w:val="clear" w:color="auto" w:fill="FFFFFF"/>
            <w:vAlign w:val="center"/>
          </w:tcPr>
          <w:p w14:paraId="448D6B2E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尚未审结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66AB3C01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总计</w:t>
            </w:r>
          </w:p>
        </w:tc>
      </w:tr>
      <w:tr w14:paraId="45F918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8" w:hRule="atLeast"/>
          <w:jc w:val="center"/>
        </w:trPr>
        <w:tc>
          <w:tcPr>
            <w:tcW w:w="669" w:type="dxa"/>
            <w:shd w:val="clear" w:color="auto" w:fill="FFFFFF"/>
            <w:vAlign w:val="center"/>
          </w:tcPr>
          <w:p w14:paraId="4161F57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700" w:type="dxa"/>
            <w:shd w:val="clear" w:color="auto" w:fill="FFFFFF"/>
            <w:vAlign w:val="center"/>
          </w:tcPr>
          <w:p w14:paraId="411B1003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52" w:type="dxa"/>
            <w:shd w:val="clear" w:color="auto" w:fill="FFFFFF"/>
            <w:vAlign w:val="center"/>
          </w:tcPr>
          <w:p w14:paraId="0F61A562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83" w:type="dxa"/>
            <w:shd w:val="clear" w:color="auto" w:fill="FFFFFF"/>
            <w:vAlign w:val="center"/>
          </w:tcPr>
          <w:p w14:paraId="7F5F9667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32" w:type="dxa"/>
            <w:shd w:val="clear" w:color="auto" w:fill="FFFFFF"/>
            <w:vAlign w:val="center"/>
          </w:tcPr>
          <w:p w14:paraId="650BA9ED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51" w:type="dxa"/>
            <w:shd w:val="clear" w:color="auto" w:fill="FFFFFF"/>
            <w:vAlign w:val="center"/>
          </w:tcPr>
          <w:p w14:paraId="2137D74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34" w:type="dxa"/>
            <w:shd w:val="clear" w:color="auto" w:fill="FFFFFF"/>
            <w:vAlign w:val="center"/>
          </w:tcPr>
          <w:p w14:paraId="3702AC76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00" w:type="dxa"/>
            <w:shd w:val="clear" w:color="auto" w:fill="FFFFFF"/>
            <w:vAlign w:val="center"/>
          </w:tcPr>
          <w:p w14:paraId="0286A796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66" w:type="dxa"/>
            <w:shd w:val="clear" w:color="auto" w:fill="FFFFFF"/>
            <w:vAlign w:val="center"/>
          </w:tcPr>
          <w:p w14:paraId="6660DF61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700" w:type="dxa"/>
            <w:shd w:val="clear" w:color="auto" w:fill="FFFFFF"/>
            <w:vAlign w:val="center"/>
          </w:tcPr>
          <w:p w14:paraId="479482E5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2AE66CDC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67" w:type="dxa"/>
            <w:shd w:val="clear" w:color="auto" w:fill="FFFFFF"/>
            <w:vAlign w:val="center"/>
          </w:tcPr>
          <w:p w14:paraId="2F453E43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50" w:type="dxa"/>
            <w:shd w:val="clear" w:color="auto" w:fill="FFFFFF"/>
            <w:vAlign w:val="center"/>
          </w:tcPr>
          <w:p w14:paraId="14880E0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583" w:type="dxa"/>
            <w:shd w:val="clear" w:color="auto" w:fill="FFFFFF"/>
            <w:vAlign w:val="center"/>
          </w:tcPr>
          <w:p w14:paraId="66410C2B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378458F3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0</w:t>
            </w:r>
          </w:p>
        </w:tc>
      </w:tr>
    </w:tbl>
    <w:p w14:paraId="676A0BC3">
      <w:pPr>
        <w:widowControl/>
        <w:spacing w:line="56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五、存在的主要问题及改进情况</w:t>
      </w:r>
    </w:p>
    <w:p w14:paraId="2435E2B7">
      <w:pPr>
        <w:widowControl/>
        <w:spacing w:line="560" w:lineRule="exact"/>
        <w:ind w:firstLine="640" w:firstLineChars="200"/>
        <w:jc w:val="left"/>
        <w:rPr>
          <w:rFonts w:ascii="仿宋_GB2312" w:hAnsi="仿宋" w:eastAsia="仿宋_GB2312" w:cs="仿宋"/>
          <w:sz w:val="32"/>
          <w:szCs w:val="32"/>
        </w:rPr>
      </w:pPr>
      <w:r>
        <w:rPr>
          <w:rFonts w:ascii="仿宋_GB2312" w:hAnsi="仿宋" w:eastAsia="仿宋_GB2312" w:cs="仿宋"/>
          <w:sz w:val="32"/>
          <w:szCs w:val="32"/>
        </w:rPr>
        <w:t>2019</w:t>
      </w:r>
      <w:r>
        <w:rPr>
          <w:rFonts w:hint="eastAsia" w:ascii="仿宋_GB2312" w:hAnsi="仿宋" w:eastAsia="仿宋_GB2312" w:cs="仿宋"/>
          <w:sz w:val="32"/>
          <w:szCs w:val="32"/>
        </w:rPr>
        <w:t>年，我局政府信息公开工作虽然取得一定成效，但还存在如下问题：</w:t>
      </w:r>
    </w:p>
    <w:p w14:paraId="6C359405">
      <w:pPr>
        <w:widowControl/>
        <w:spacing w:line="560" w:lineRule="exact"/>
        <w:ind w:firstLine="640" w:firstLineChars="200"/>
        <w:jc w:val="left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一是信息公开内容比较单一。我局将进一步准确把握政策要求，切实处理好公开与保密、主动公开与依申请公开、接受社会监督与提供信息服务等方面的关系，丰富公开内容、创新公开形式、拓宽公开渠道。</w:t>
      </w:r>
    </w:p>
    <w:p w14:paraId="40191AC9">
      <w:pPr>
        <w:widowControl/>
        <w:spacing w:line="560" w:lineRule="exact"/>
        <w:ind w:firstLine="640" w:firstLineChars="200"/>
        <w:jc w:val="left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二是部分信息收集、发布不够及时。我局将进一步增强政府信息公开工作的主动性和及时性，加强人员培训，提高工作人员业务能力，确保信息公开及时、正确。</w:t>
      </w:r>
      <w:r>
        <w:rPr>
          <w:rFonts w:ascii="仿宋_GB2312" w:hAnsi="仿宋" w:eastAsia="仿宋_GB2312" w:cs="仿宋"/>
          <w:kern w:val="0"/>
          <w:sz w:val="32"/>
          <w:szCs w:val="32"/>
          <w:shd w:val="clear" w:color="auto" w:fill="FFFFFF"/>
        </w:rPr>
        <w:t xml:space="preserve">                                        </w:t>
      </w:r>
      <w:r>
        <w:rPr>
          <w:rFonts w:ascii="仿宋_GB2312" w:hAnsi="仿宋" w:eastAsia="仿宋_GB2312" w:cs="仿宋"/>
          <w:sz w:val="32"/>
          <w:szCs w:val="32"/>
        </w:rPr>
        <w:t xml:space="preserve">   </w:t>
      </w:r>
    </w:p>
    <w:p w14:paraId="2935C39D">
      <w:pPr>
        <w:widowControl/>
        <w:spacing w:line="560" w:lineRule="exact"/>
        <w:ind w:firstLine="640" w:firstLineChars="200"/>
        <w:jc w:val="left"/>
        <w:rPr>
          <w:rFonts w:ascii="仿宋_GB2312" w:hAnsi="仿宋" w:eastAsia="仿宋_GB2312" w:cs="仿宋"/>
          <w:sz w:val="32"/>
          <w:szCs w:val="32"/>
        </w:rPr>
      </w:pPr>
    </w:p>
    <w:p w14:paraId="57F31BF7">
      <w:pPr>
        <w:widowControl/>
        <w:spacing w:line="560" w:lineRule="exact"/>
        <w:ind w:firstLine="640" w:firstLineChars="200"/>
        <w:jc w:val="left"/>
        <w:rPr>
          <w:rFonts w:ascii="仿宋_GB2312" w:hAnsi="仿宋" w:eastAsia="仿宋_GB2312" w:cs="仿宋"/>
          <w:sz w:val="32"/>
          <w:szCs w:val="32"/>
        </w:rPr>
      </w:pPr>
    </w:p>
    <w:p w14:paraId="0958AEA6">
      <w:pPr>
        <w:widowControl/>
        <w:spacing w:line="560" w:lineRule="exact"/>
        <w:ind w:firstLine="640" w:firstLineChars="200"/>
        <w:jc w:val="left"/>
        <w:rPr>
          <w:rFonts w:ascii="仿宋_GB2312" w:hAnsi="仿宋" w:eastAsia="仿宋_GB2312" w:cs="仿宋"/>
          <w:sz w:val="32"/>
          <w:szCs w:val="32"/>
        </w:rPr>
      </w:pPr>
    </w:p>
    <w:p w14:paraId="72800AF1">
      <w:pPr>
        <w:widowControl/>
        <w:spacing w:line="560" w:lineRule="exact"/>
        <w:ind w:firstLine="5440" w:firstLineChars="1700"/>
        <w:jc w:val="left"/>
        <w:rPr>
          <w:rFonts w:ascii="仿宋_GB2312" w:eastAsia="仿宋_GB2312"/>
        </w:rPr>
      </w:pPr>
      <w:r>
        <w:rPr>
          <w:rFonts w:hint="eastAsia" w:ascii="仿宋_GB2312" w:hAnsi="仿宋" w:eastAsia="仿宋_GB2312" w:cs="仿宋"/>
          <w:sz w:val="32"/>
          <w:szCs w:val="32"/>
        </w:rPr>
        <w:t>常熟市统计局</w:t>
      </w:r>
      <w:r>
        <w:rPr>
          <w:rFonts w:ascii="仿宋_GB2312" w:hAnsi="仿宋" w:eastAsia="仿宋_GB2312" w:cs="仿宋"/>
          <w:sz w:val="32"/>
          <w:szCs w:val="32"/>
        </w:rPr>
        <w:br w:type="textWrapping"/>
      </w:r>
      <w:r>
        <w:rPr>
          <w:rFonts w:ascii="仿宋_GB2312" w:hAnsi="仿宋" w:eastAsia="仿宋_GB2312" w:cs="仿宋"/>
          <w:sz w:val="32"/>
          <w:szCs w:val="32"/>
        </w:rPr>
        <w:t xml:space="preserve">                      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 xml:space="preserve">               </w:t>
      </w:r>
      <w:r>
        <w:rPr>
          <w:rFonts w:ascii="仿宋_GB2312" w:hAnsi="仿宋" w:eastAsia="仿宋_GB2312" w:cs="仿宋"/>
          <w:sz w:val="32"/>
          <w:szCs w:val="32"/>
        </w:rPr>
        <w:t>2020</w:t>
      </w:r>
      <w:r>
        <w:rPr>
          <w:rFonts w:hint="eastAsia" w:ascii="仿宋_GB2312" w:hAnsi="仿宋" w:eastAsia="仿宋_GB2312" w:cs="仿宋"/>
          <w:sz w:val="32"/>
          <w:szCs w:val="32"/>
        </w:rPr>
        <w:t>年</w:t>
      </w:r>
      <w:r>
        <w:rPr>
          <w:rFonts w:ascii="仿宋_GB2312" w:hAnsi="仿宋" w:eastAsia="仿宋_GB2312" w:cs="仿宋"/>
          <w:sz w:val="32"/>
          <w:szCs w:val="32"/>
        </w:rPr>
        <w:t>1</w:t>
      </w:r>
      <w:r>
        <w:rPr>
          <w:rFonts w:hint="eastAsia" w:ascii="仿宋_GB2312" w:hAnsi="仿宋" w:eastAsia="仿宋_GB2312" w:cs="仿宋"/>
          <w:sz w:val="32"/>
          <w:szCs w:val="32"/>
        </w:rPr>
        <w:t>月</w:t>
      </w:r>
      <w:r>
        <w:rPr>
          <w:rFonts w:ascii="仿宋_GB2312" w:hAnsi="仿宋" w:eastAsia="仿宋_GB2312" w:cs="仿宋"/>
          <w:sz w:val="32"/>
          <w:szCs w:val="32"/>
        </w:rPr>
        <w:t>20</w:t>
      </w:r>
      <w:r>
        <w:rPr>
          <w:rFonts w:hint="eastAsia" w:ascii="仿宋_GB2312" w:hAnsi="仿宋" w:eastAsia="仿宋_GB2312" w:cs="仿宋"/>
          <w:sz w:val="32"/>
          <w:szCs w:val="32"/>
        </w:rPr>
        <w:t>日</w:t>
      </w:r>
    </w:p>
    <w:p w14:paraId="01E4C017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E68F75F-C3F3-4005-AABF-C9D4D29CCA2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6B3C9866-D3A5-4297-B7DF-14931185D073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E3607055-7A0E-41DD-899C-901103361E6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07751C7C-E24D-434C-9B83-2741352EA0C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C766893F-848A-4424-97C0-090C3890991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5C4989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D8CCCC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AaKjbh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8CCCC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424AE4"/>
    <w:rsid w:val="003814A3"/>
    <w:rsid w:val="005E005F"/>
    <w:rsid w:val="006A70AE"/>
    <w:rsid w:val="00790633"/>
    <w:rsid w:val="0086583A"/>
    <w:rsid w:val="008C3D55"/>
    <w:rsid w:val="00906AA5"/>
    <w:rsid w:val="00BE08E1"/>
    <w:rsid w:val="00E60D49"/>
    <w:rsid w:val="00EF1E08"/>
    <w:rsid w:val="00F44A4B"/>
    <w:rsid w:val="03520B4B"/>
    <w:rsid w:val="1A2C2469"/>
    <w:rsid w:val="21B657CE"/>
    <w:rsid w:val="297C21F9"/>
    <w:rsid w:val="2DEC24B7"/>
    <w:rsid w:val="446C7E09"/>
    <w:rsid w:val="506279AF"/>
    <w:rsid w:val="50E7118B"/>
    <w:rsid w:val="546262A5"/>
    <w:rsid w:val="64673E30"/>
    <w:rsid w:val="66C5777F"/>
    <w:rsid w:val="7942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9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7">
    <w:name w:val="Strong"/>
    <w:basedOn w:val="6"/>
    <w:qFormat/>
    <w:uiPriority w:val="99"/>
    <w:rPr>
      <w:rFonts w:cs="Times New Roman"/>
      <w:b/>
    </w:rPr>
  </w:style>
  <w:style w:type="character" w:customStyle="1" w:styleId="8">
    <w:name w:val="Footer Char"/>
    <w:basedOn w:val="6"/>
    <w:link w:val="2"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9">
    <w:name w:val="Header Char"/>
    <w:basedOn w:val="6"/>
    <w:link w:val="3"/>
    <w:semiHidden/>
    <w:locked/>
    <w:uiPriority w:val="99"/>
    <w:rPr>
      <w:rFonts w:ascii="Calibri" w:hAnsi="Calibri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5</Pages>
  <Words>1328</Words>
  <Characters>1397</Characters>
  <Lines>0</Lines>
  <Paragraphs>0</Paragraphs>
  <TotalTime>63</TotalTime>
  <ScaleCrop>false</ScaleCrop>
  <LinksUpToDate>false</LinksUpToDate>
  <CharactersWithSpaces>1399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2020-01-19T09:01:00Z</dcterms:created>
  <dc:creator>白白</dc:creator>
  <cp:lastModifiedBy>糖心蛋</cp:lastModifiedBy>
  <cp:lastPrinted>2020-01-22T02:39:00Z</cp:lastPrinted>
  <dcterms:modified xsi:type="dcterms:W3CDTF">2025-10-11T02:47:58Z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42C0066ABF5441F4B7F7FE86708F3866_13</vt:lpwstr>
  </property>
  <property fmtid="{D5CDD505-2E9C-101B-9397-08002B2CF9AE}" pid="4" name="KSOTemplateDocerSaveRecord">
    <vt:lpwstr>eyJoZGlkIjoiZWQ4NTVhNmM1MWJjZjYyMmIzMjk4ZWM2OTc5MmQ2YTAiLCJ1c2VySWQiOiIxOTk2OTgwODMifQ==</vt:lpwstr>
  </property>
</Properties>
</file>