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90C736">
      <w:pPr>
        <w:keepNext w:val="0"/>
        <w:keepLines w:val="0"/>
        <w:pageBreakBefore w:val="0"/>
        <w:wordWrap/>
        <w:overflowPunct/>
        <w:topLinePunct w:val="0"/>
        <w:bidi w:val="0"/>
        <w:spacing w:line="576" w:lineRule="exact"/>
        <w:ind w:right="81"/>
        <w:contextualSpacing/>
        <w:jc w:val="center"/>
        <w:rPr>
          <w:rFonts w:hint="default" w:ascii="Times New Roman" w:hAnsi="Times New Roman" w:eastAsia="方正小标宋简体" w:cs="Times New Roman"/>
          <w:bCs/>
          <w:color w:val="auto"/>
          <w:sz w:val="36"/>
          <w:szCs w:val="36"/>
          <w:highlight w:val="none"/>
          <w:u w:val="none"/>
          <w:lang w:eastAsia="zh-CN"/>
        </w:rPr>
      </w:pPr>
      <w:r>
        <w:rPr>
          <w:rFonts w:hint="default" w:ascii="Times New Roman" w:hAnsi="Times New Roman" w:eastAsia="方正小标宋简体" w:cs="Times New Roman"/>
          <w:bCs/>
          <w:color w:val="auto"/>
          <w:sz w:val="36"/>
          <w:szCs w:val="36"/>
          <w:highlight w:val="none"/>
          <w:u w:val="none"/>
          <w:lang w:eastAsia="zh-CN"/>
        </w:rPr>
        <w:t>关于</w:t>
      </w:r>
      <w:r>
        <w:rPr>
          <w:rFonts w:hint="eastAsia" w:ascii="Times New Roman" w:hAnsi="Times New Roman" w:eastAsia="方正小标宋简体" w:cs="Times New Roman"/>
          <w:bCs/>
          <w:color w:val="auto"/>
          <w:sz w:val="36"/>
          <w:szCs w:val="36"/>
          <w:highlight w:val="none"/>
          <w:u w:val="none"/>
          <w:lang w:val="en-US" w:eastAsia="zh-CN"/>
        </w:rPr>
        <w:t>推动</w:t>
      </w:r>
      <w:r>
        <w:rPr>
          <w:rFonts w:hint="default" w:ascii="Times New Roman" w:hAnsi="Times New Roman" w:eastAsia="方正小标宋简体" w:cs="Times New Roman"/>
          <w:bCs/>
          <w:color w:val="auto"/>
          <w:sz w:val="36"/>
          <w:szCs w:val="36"/>
          <w:highlight w:val="none"/>
          <w:u w:val="none"/>
          <w:lang w:eastAsia="zh-CN"/>
        </w:rPr>
        <w:t>制造业</w:t>
      </w:r>
      <w:r>
        <w:rPr>
          <w:rFonts w:hint="eastAsia" w:ascii="Times New Roman" w:hAnsi="Times New Roman" w:eastAsia="方正小标宋简体" w:cs="Times New Roman"/>
          <w:bCs/>
          <w:color w:val="auto"/>
          <w:sz w:val="36"/>
          <w:szCs w:val="36"/>
          <w:highlight w:val="none"/>
          <w:u w:val="none"/>
          <w:lang w:val="en-US" w:eastAsia="zh-CN"/>
        </w:rPr>
        <w:t>高质量发展</w:t>
      </w:r>
      <w:r>
        <w:rPr>
          <w:rFonts w:hint="default" w:ascii="Times New Roman" w:hAnsi="Times New Roman" w:eastAsia="方正小标宋简体" w:cs="Times New Roman"/>
          <w:bCs/>
          <w:color w:val="auto"/>
          <w:sz w:val="36"/>
          <w:szCs w:val="36"/>
          <w:highlight w:val="none"/>
          <w:u w:val="none"/>
          <w:lang w:eastAsia="zh-CN"/>
        </w:rPr>
        <w:t>的若干政策</w:t>
      </w:r>
    </w:p>
    <w:p w14:paraId="78BE718A">
      <w:pPr>
        <w:keepNext w:val="0"/>
        <w:keepLines w:val="0"/>
        <w:pageBreakBefore w:val="0"/>
        <w:wordWrap/>
        <w:overflowPunct/>
        <w:topLinePunct w:val="0"/>
        <w:bidi w:val="0"/>
        <w:spacing w:line="576" w:lineRule="exact"/>
        <w:ind w:right="81"/>
        <w:contextualSpacing/>
        <w:jc w:val="center"/>
        <w:rPr>
          <w:rFonts w:hint="default" w:ascii="Times New Roman" w:hAnsi="Times New Roman" w:eastAsia="方正小标宋简体" w:cs="Times New Roman"/>
          <w:bCs/>
          <w:color w:val="auto"/>
          <w:sz w:val="36"/>
          <w:szCs w:val="36"/>
          <w:highlight w:val="none"/>
          <w:u w:val="none"/>
          <w:lang w:val="en-US" w:eastAsia="zh-CN"/>
        </w:rPr>
      </w:pPr>
      <w:r>
        <w:rPr>
          <w:rFonts w:hint="default" w:ascii="Times New Roman" w:hAnsi="Times New Roman" w:eastAsia="方正小标宋简体" w:cs="Times New Roman"/>
          <w:bCs/>
          <w:color w:val="auto"/>
          <w:sz w:val="36"/>
          <w:szCs w:val="36"/>
          <w:highlight w:val="none"/>
          <w:u w:val="none"/>
          <w:lang w:val="en-US" w:eastAsia="zh-CN"/>
        </w:rPr>
        <w:t>（</w:t>
      </w:r>
      <w:r>
        <w:rPr>
          <w:rFonts w:hint="eastAsia" w:ascii="Times New Roman" w:hAnsi="Times New Roman" w:eastAsia="方正小标宋简体" w:cs="Times New Roman"/>
          <w:bCs/>
          <w:color w:val="auto"/>
          <w:sz w:val="36"/>
          <w:szCs w:val="36"/>
          <w:highlight w:val="none"/>
          <w:u w:val="none"/>
          <w:lang w:val="en-US" w:eastAsia="zh-CN"/>
        </w:rPr>
        <w:t>政企意见稿</w:t>
      </w:r>
      <w:r>
        <w:rPr>
          <w:rFonts w:hint="default" w:ascii="Times New Roman" w:hAnsi="Times New Roman" w:eastAsia="方正小标宋简体" w:cs="Times New Roman"/>
          <w:bCs/>
          <w:color w:val="auto"/>
          <w:sz w:val="36"/>
          <w:szCs w:val="36"/>
          <w:highlight w:val="none"/>
          <w:u w:val="none"/>
          <w:lang w:val="en-US" w:eastAsia="zh-CN"/>
        </w:rPr>
        <w:t>）</w:t>
      </w:r>
    </w:p>
    <w:p w14:paraId="40323AC1">
      <w:pPr>
        <w:keepNext w:val="0"/>
        <w:keepLines w:val="0"/>
        <w:pageBreakBefore w:val="0"/>
        <w:wordWrap/>
        <w:overflowPunct/>
        <w:topLinePunct w:val="0"/>
        <w:bidi w:val="0"/>
        <w:spacing w:line="576" w:lineRule="exact"/>
        <w:ind w:right="81"/>
        <w:contextualSpacing/>
        <w:jc w:val="both"/>
        <w:rPr>
          <w:rFonts w:hint="default" w:ascii="Times New Roman" w:hAnsi="Times New Roman" w:eastAsia="方正小标宋简体" w:cs="Times New Roman"/>
          <w:bCs/>
          <w:color w:val="auto"/>
          <w:sz w:val="36"/>
          <w:szCs w:val="36"/>
          <w:highlight w:val="none"/>
          <w:u w:val="none"/>
          <w:lang w:val="en-US" w:eastAsia="zh-CN"/>
        </w:rPr>
      </w:pPr>
    </w:p>
    <w:p w14:paraId="2A505AFD">
      <w:pPr>
        <w:widowControl/>
        <w:adjustRightInd w:val="0"/>
        <w:snapToGrid w:val="0"/>
        <w:spacing w:after="0" w:line="560" w:lineRule="exact"/>
        <w:ind w:firstLine="640" w:firstLineChars="200"/>
        <w:jc w:val="left"/>
        <w:rPr>
          <w:rFonts w:hint="default" w:ascii="仿宋_GB2312" w:hAnsi="Tahoma" w:eastAsia="仿宋_GB2312" w:cs="Times New Roman"/>
          <w:color w:val="auto"/>
          <w:kern w:val="0"/>
          <w:sz w:val="32"/>
          <w:szCs w:val="32"/>
          <w:highlight w:val="none"/>
          <w:lang w:eastAsia="zh-CN"/>
        </w:rPr>
      </w:pPr>
      <w:r>
        <w:rPr>
          <w:rFonts w:hint="default" w:ascii="仿宋_GB2312" w:hAnsi="Tahoma" w:eastAsia="仿宋_GB2312" w:cs="Times New Roman"/>
          <w:color w:val="auto"/>
          <w:kern w:val="0"/>
          <w:sz w:val="32"/>
          <w:szCs w:val="32"/>
          <w:highlight w:val="none"/>
          <w:lang w:eastAsia="zh-CN"/>
        </w:rPr>
        <w:t>为深入贯彻国家、省</w:t>
      </w:r>
      <w:r>
        <w:rPr>
          <w:rFonts w:hint="eastAsia" w:ascii="仿宋_GB2312" w:hAnsi="Tahoma" w:eastAsia="仿宋_GB2312" w:cs="Times New Roman"/>
          <w:color w:val="auto"/>
          <w:kern w:val="0"/>
          <w:sz w:val="32"/>
          <w:szCs w:val="32"/>
          <w:highlight w:val="none"/>
          <w:lang w:eastAsia="zh-CN"/>
        </w:rPr>
        <w:t>、</w:t>
      </w:r>
      <w:r>
        <w:rPr>
          <w:rFonts w:hint="eastAsia" w:ascii="仿宋_GB2312" w:hAnsi="Tahoma" w:eastAsia="仿宋_GB2312" w:cs="Times New Roman"/>
          <w:color w:val="auto"/>
          <w:kern w:val="0"/>
          <w:sz w:val="32"/>
          <w:szCs w:val="32"/>
          <w:highlight w:val="none"/>
          <w:lang w:val="en-US" w:eastAsia="zh-CN"/>
        </w:rPr>
        <w:t>苏州</w:t>
      </w:r>
      <w:r>
        <w:rPr>
          <w:rFonts w:hint="default" w:ascii="仿宋_GB2312" w:hAnsi="Tahoma" w:eastAsia="仿宋_GB2312" w:cs="Times New Roman"/>
          <w:color w:val="auto"/>
          <w:kern w:val="0"/>
          <w:sz w:val="32"/>
          <w:szCs w:val="32"/>
          <w:highlight w:val="none"/>
          <w:lang w:eastAsia="zh-CN"/>
        </w:rPr>
        <w:t>关于加快推进新型工业化决策部署，</w:t>
      </w:r>
      <w:r>
        <w:rPr>
          <w:rFonts w:hint="eastAsia" w:ascii="仿宋_GB2312" w:hAnsi="Tahoma" w:eastAsia="仿宋_GB2312" w:cs="Times New Roman"/>
          <w:color w:val="auto"/>
          <w:kern w:val="0"/>
          <w:sz w:val="32"/>
          <w:szCs w:val="32"/>
          <w:highlight w:val="none"/>
          <w:lang w:val="en-US" w:eastAsia="zh-CN"/>
        </w:rPr>
        <w:t>因地制宜培育新质生产力，与时俱进发挥政策引领作用和撬动作用，聚焦</w:t>
      </w:r>
      <w:r>
        <w:rPr>
          <w:rFonts w:hint="eastAsia" w:ascii="仿宋_GB2312" w:hAnsi="Tahoma" w:eastAsia="仿宋_GB2312" w:cs="Times New Roman"/>
          <w:color w:val="auto"/>
          <w:kern w:val="0"/>
          <w:sz w:val="32"/>
          <w:szCs w:val="32"/>
          <w:highlight w:val="none"/>
          <w:lang w:eastAsia="zh-CN"/>
        </w:rPr>
        <w:t>“</w:t>
      </w:r>
      <w:r>
        <w:rPr>
          <w:rFonts w:hint="eastAsia" w:ascii="仿宋_GB2312" w:hAnsi="Tahoma" w:eastAsia="仿宋_GB2312" w:cs="Times New Roman"/>
          <w:color w:val="auto"/>
          <w:kern w:val="0"/>
          <w:sz w:val="32"/>
          <w:szCs w:val="32"/>
          <w:highlight w:val="none"/>
          <w:lang w:val="en-US" w:eastAsia="zh-CN"/>
        </w:rPr>
        <w:t>大企业</w:t>
      </w:r>
      <w:r>
        <w:rPr>
          <w:rFonts w:hint="eastAsia" w:ascii="仿宋_GB2312" w:hAnsi="Tahoma" w:eastAsia="仿宋_GB2312" w:cs="Times New Roman"/>
          <w:color w:val="auto"/>
          <w:kern w:val="0"/>
          <w:sz w:val="32"/>
          <w:szCs w:val="32"/>
          <w:highlight w:val="none"/>
          <w:lang w:eastAsia="zh-CN"/>
        </w:rPr>
        <w:t>”</w:t>
      </w:r>
      <w:r>
        <w:rPr>
          <w:rFonts w:hint="eastAsia" w:ascii="仿宋_GB2312" w:hAnsi="Tahoma" w:eastAsia="仿宋_GB2312" w:cs="Times New Roman"/>
          <w:color w:val="auto"/>
          <w:kern w:val="0"/>
          <w:sz w:val="32"/>
          <w:szCs w:val="32"/>
          <w:highlight w:val="none"/>
          <w:lang w:val="en-US" w:eastAsia="zh-CN"/>
        </w:rPr>
        <w:t>领航登峰、专精特新“育林参天”</w:t>
      </w:r>
      <w:r>
        <w:rPr>
          <w:rFonts w:hint="eastAsia" w:ascii="仿宋_GB2312" w:hAnsi="Tahoma" w:eastAsia="仿宋_GB2312" w:cs="Times New Roman"/>
          <w:color w:val="auto"/>
          <w:kern w:val="0"/>
          <w:sz w:val="32"/>
          <w:szCs w:val="32"/>
          <w:highlight w:val="none"/>
          <w:lang w:eastAsia="zh-CN"/>
        </w:rPr>
        <w:t>，</w:t>
      </w:r>
      <w:r>
        <w:rPr>
          <w:rFonts w:hint="default" w:ascii="仿宋_GB2312" w:hAnsi="Tahoma" w:eastAsia="仿宋_GB2312" w:cs="Times New Roman"/>
          <w:color w:val="auto"/>
          <w:kern w:val="0"/>
          <w:sz w:val="32"/>
          <w:szCs w:val="32"/>
          <w:highlight w:val="none"/>
          <w:lang w:eastAsia="zh-CN"/>
        </w:rPr>
        <w:t>着力推进</w:t>
      </w:r>
      <w:r>
        <w:rPr>
          <w:rFonts w:hint="eastAsia" w:ascii="仿宋_GB2312" w:hAnsi="Tahoma" w:eastAsia="仿宋_GB2312" w:cs="Times New Roman"/>
          <w:color w:val="auto"/>
          <w:kern w:val="0"/>
          <w:sz w:val="32"/>
          <w:szCs w:val="32"/>
          <w:highlight w:val="none"/>
          <w:lang w:val="en-US" w:eastAsia="zh-CN"/>
        </w:rPr>
        <w:t>产业转型升级、产创深度融合、助企降本增效</w:t>
      </w:r>
      <w:r>
        <w:rPr>
          <w:rFonts w:hint="default" w:ascii="仿宋_GB2312" w:hAnsi="Tahoma" w:eastAsia="仿宋_GB2312" w:cs="Times New Roman"/>
          <w:color w:val="auto"/>
          <w:kern w:val="0"/>
          <w:sz w:val="32"/>
          <w:szCs w:val="32"/>
          <w:highlight w:val="none"/>
          <w:lang w:eastAsia="zh-CN"/>
        </w:rPr>
        <w:t>，结合我市实际</w:t>
      </w:r>
      <w:r>
        <w:rPr>
          <w:rFonts w:hint="eastAsia" w:ascii="仿宋_GB2312" w:hAnsi="Tahoma" w:eastAsia="仿宋_GB2312" w:cs="Times New Roman"/>
          <w:color w:val="auto"/>
          <w:kern w:val="0"/>
          <w:sz w:val="32"/>
          <w:szCs w:val="32"/>
          <w:highlight w:val="none"/>
          <w:lang w:eastAsia="zh-CN"/>
        </w:rPr>
        <w:t>，制定</w:t>
      </w:r>
      <w:r>
        <w:rPr>
          <w:rFonts w:hint="eastAsia" w:ascii="仿宋_GB2312" w:hAnsi="Tahoma" w:eastAsia="仿宋_GB2312" w:cs="Times New Roman"/>
          <w:color w:val="auto"/>
          <w:kern w:val="0"/>
          <w:sz w:val="32"/>
          <w:szCs w:val="32"/>
          <w:highlight w:val="none"/>
          <w:lang w:val="en-US" w:eastAsia="zh-CN"/>
        </w:rPr>
        <w:t>新一轮推动制造业高质量发展的若干措施如下</w:t>
      </w:r>
      <w:r>
        <w:rPr>
          <w:rFonts w:hint="eastAsia" w:ascii="仿宋_GB2312" w:hAnsi="Tahoma" w:eastAsia="仿宋_GB2312" w:cs="Times New Roman"/>
          <w:color w:val="auto"/>
          <w:kern w:val="0"/>
          <w:sz w:val="32"/>
          <w:szCs w:val="32"/>
          <w:highlight w:val="none"/>
          <w:lang w:eastAsia="zh-CN"/>
        </w:rPr>
        <w:t>：</w:t>
      </w:r>
    </w:p>
    <w:p w14:paraId="35D87B55">
      <w:pPr>
        <w:keepNext w:val="0"/>
        <w:keepLines w:val="0"/>
        <w:pageBreakBefore w:val="0"/>
        <w:numPr>
          <w:ilvl w:val="-1"/>
          <w:numId w:val="0"/>
        </w:numPr>
        <w:wordWrap/>
        <w:overflowPunct/>
        <w:topLinePunct w:val="0"/>
        <w:bidi w:val="0"/>
        <w:spacing w:line="576" w:lineRule="exact"/>
        <w:ind w:right="81" w:firstLine="643" w:firstLineChars="200"/>
        <w:contextualSpacing/>
        <w:jc w:val="both"/>
        <w:rPr>
          <w:rFonts w:hint="default" w:ascii="Times" w:hAnsi="Times" w:eastAsia="楷体_GB2312" w:cs="Times New Roman"/>
          <w:b/>
          <w:bCs/>
          <w:color w:val="auto"/>
          <w:sz w:val="32"/>
          <w:szCs w:val="32"/>
          <w:highlight w:val="none"/>
          <w:lang w:val="en-US" w:eastAsia="zh-CN"/>
        </w:rPr>
      </w:pPr>
      <w:r>
        <w:rPr>
          <w:rFonts w:hint="eastAsia" w:ascii="Times" w:hAnsi="Times" w:eastAsia="楷体_GB2312" w:cs="Times New Roman"/>
          <w:b/>
          <w:bCs/>
          <w:color w:val="auto"/>
          <w:sz w:val="32"/>
          <w:szCs w:val="32"/>
          <w:highlight w:val="none"/>
          <w:lang w:val="en-US" w:eastAsia="zh-CN"/>
        </w:rPr>
        <w:t>1.支持</w:t>
      </w:r>
      <w:r>
        <w:rPr>
          <w:rFonts w:hint="eastAsia" w:ascii="Times" w:hAnsi="Times" w:eastAsia="楷体_GB2312" w:cs="Times New Roman"/>
          <w:b/>
          <w:bCs/>
          <w:color w:val="auto"/>
          <w:sz w:val="32"/>
          <w:szCs w:val="32"/>
          <w:highlight w:val="none"/>
          <w:lang w:eastAsia="zh-CN"/>
        </w:rPr>
        <w:t>企业</w:t>
      </w:r>
      <w:r>
        <w:rPr>
          <w:rFonts w:hint="eastAsia" w:ascii="Times" w:hAnsi="Times" w:eastAsia="楷体_GB2312" w:cs="Times New Roman"/>
          <w:b/>
          <w:bCs/>
          <w:color w:val="auto"/>
          <w:sz w:val="32"/>
          <w:szCs w:val="32"/>
          <w:highlight w:val="none"/>
          <w:lang w:val="en-US" w:eastAsia="zh-CN"/>
        </w:rPr>
        <w:t>扩大有效投入。</w:t>
      </w:r>
      <w:r>
        <w:rPr>
          <w:rFonts w:hint="default" w:ascii="仿宋_GB2312" w:hAnsi="Tahoma" w:eastAsia="仿宋_GB2312" w:cs="Times New Roman"/>
          <w:color w:val="auto"/>
          <w:kern w:val="0"/>
          <w:sz w:val="32"/>
          <w:szCs w:val="32"/>
          <w:highlight w:val="none"/>
          <w:lang w:val="en-US" w:eastAsia="zh-CN"/>
        </w:rPr>
        <w:t>鼓励企业对现有设施、工艺条件</w:t>
      </w:r>
      <w:r>
        <w:rPr>
          <w:rFonts w:hint="eastAsia" w:ascii="仿宋_GB2312" w:hAnsi="Tahoma" w:eastAsia="仿宋_GB2312" w:cs="Times New Roman"/>
          <w:color w:val="auto"/>
          <w:kern w:val="0"/>
          <w:sz w:val="32"/>
          <w:szCs w:val="32"/>
          <w:highlight w:val="none"/>
          <w:lang w:val="en-US" w:eastAsia="zh-CN"/>
        </w:rPr>
        <w:t>、技术能力</w:t>
      </w:r>
      <w:r>
        <w:rPr>
          <w:rFonts w:hint="default" w:ascii="仿宋_GB2312" w:hAnsi="Tahoma" w:eastAsia="仿宋_GB2312" w:cs="Times New Roman"/>
          <w:color w:val="auto"/>
          <w:kern w:val="0"/>
          <w:sz w:val="32"/>
          <w:szCs w:val="32"/>
          <w:highlight w:val="none"/>
          <w:lang w:val="en-US" w:eastAsia="zh-CN"/>
        </w:rPr>
        <w:t>等进行改造</w:t>
      </w:r>
      <w:r>
        <w:rPr>
          <w:rFonts w:hint="eastAsia" w:ascii="仿宋_GB2312" w:hAnsi="Tahoma" w:eastAsia="仿宋_GB2312" w:cs="Times New Roman"/>
          <w:color w:val="auto"/>
          <w:kern w:val="0"/>
          <w:sz w:val="32"/>
          <w:szCs w:val="32"/>
          <w:highlight w:val="none"/>
          <w:lang w:val="en-US" w:eastAsia="zh-CN"/>
        </w:rPr>
        <w:t>更新</w:t>
      </w:r>
      <w:r>
        <w:rPr>
          <w:rFonts w:hint="default" w:ascii="仿宋_GB2312" w:hAnsi="Tahoma" w:eastAsia="仿宋_GB2312" w:cs="Times New Roman"/>
          <w:color w:val="auto"/>
          <w:kern w:val="0"/>
          <w:sz w:val="32"/>
          <w:szCs w:val="32"/>
          <w:highlight w:val="none"/>
          <w:lang w:val="en-US" w:eastAsia="zh-CN"/>
        </w:rPr>
        <w:t>，</w:t>
      </w:r>
      <w:r>
        <w:rPr>
          <w:rFonts w:hint="eastAsia" w:ascii="仿宋_GB2312" w:hAnsi="Tahoma" w:eastAsia="仿宋_GB2312" w:cs="Times New Roman"/>
          <w:color w:val="auto"/>
          <w:kern w:val="0"/>
          <w:sz w:val="32"/>
          <w:szCs w:val="32"/>
          <w:highlight w:val="none"/>
          <w:lang w:val="en-US" w:eastAsia="zh-CN"/>
        </w:rPr>
        <w:t>对通过有效投入奖补评审的项目，</w:t>
      </w:r>
      <w:r>
        <w:rPr>
          <w:rFonts w:hint="eastAsia" w:ascii="Times New Roman" w:hAnsi="Times New Roman" w:eastAsia="仿宋_GB2312" w:cs="Times New Roman"/>
          <w:color w:val="auto"/>
          <w:kern w:val="0"/>
          <w:sz w:val="32"/>
          <w:szCs w:val="32"/>
          <w:highlight w:val="none"/>
          <w:lang w:val="en-US" w:eastAsia="zh-CN"/>
        </w:rPr>
        <w:t>按照设备投资额给予最高5%的奖补。</w:t>
      </w:r>
      <w:r>
        <w:rPr>
          <w:rFonts w:hint="default" w:ascii="Times New Roman" w:hAnsi="Times New Roman" w:eastAsia="仿宋_GB2312" w:cs="Times New Roman"/>
          <w:color w:val="auto"/>
          <w:kern w:val="0"/>
          <w:sz w:val="32"/>
          <w:szCs w:val="32"/>
          <w:highlight w:val="none"/>
          <w:lang w:val="en-US" w:eastAsia="zh-CN"/>
        </w:rPr>
        <w:t>对制造业企业设备更新及“智改数转网联”相关软硬件设备购置银行贷款，统筹国家、省和苏州市制造业贷款财政贴息政策，给予最高3个百分点贴息，同一笔贷款获得的各级财政贴息资金总额不得超过贷款实际支出利息。</w:t>
      </w:r>
    </w:p>
    <w:p w14:paraId="4F9304B7">
      <w:pPr>
        <w:keepNext w:val="0"/>
        <w:keepLines w:val="0"/>
        <w:pageBreakBefore w:val="0"/>
        <w:numPr>
          <w:ilvl w:val="-1"/>
          <w:numId w:val="0"/>
        </w:numPr>
        <w:wordWrap/>
        <w:overflowPunct/>
        <w:topLinePunct w:val="0"/>
        <w:bidi w:val="0"/>
        <w:spacing w:line="576" w:lineRule="exact"/>
        <w:ind w:right="81" w:firstLine="643" w:firstLineChars="200"/>
        <w:contextualSpacing/>
        <w:jc w:val="both"/>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楷体_GB2312" w:cs="Times New Roman"/>
          <w:b/>
          <w:bCs/>
          <w:color w:val="auto"/>
          <w:sz w:val="32"/>
          <w:szCs w:val="32"/>
          <w:highlight w:val="none"/>
          <w:lang w:val="en-US" w:eastAsia="zh-CN"/>
        </w:rPr>
        <w:t>2.支持企业提升创新能力。</w:t>
      </w:r>
      <w:r>
        <w:rPr>
          <w:rFonts w:hint="default" w:ascii="Times New Roman" w:hAnsi="Times New Roman" w:eastAsia="仿宋_GB2312" w:cs="Times New Roman"/>
          <w:color w:val="auto"/>
          <w:kern w:val="0"/>
          <w:sz w:val="32"/>
          <w:szCs w:val="32"/>
          <w:highlight w:val="none"/>
          <w:lang w:val="en-US" w:eastAsia="zh-CN"/>
        </w:rPr>
        <w:t>支持符合国家战略关键领域的企业牵头，联合上下游企业、高校院所共建技术攻关联合体，合力攻克一批“卡脖子”技术，对入围国家重大技术攻关项目的企业，按照</w:t>
      </w:r>
      <w:r>
        <w:rPr>
          <w:rFonts w:hint="eastAsia" w:ascii="Times New Roman" w:hAnsi="Times New Roman" w:eastAsia="仿宋_GB2312" w:cs="Times New Roman"/>
          <w:color w:val="auto"/>
          <w:kern w:val="0"/>
          <w:sz w:val="32"/>
          <w:szCs w:val="32"/>
          <w:highlight w:val="none"/>
          <w:lang w:val="en-US" w:eastAsia="zh-CN"/>
        </w:rPr>
        <w:t>项目上级扶持资金</w:t>
      </w:r>
      <w:r>
        <w:rPr>
          <w:rFonts w:hint="default" w:ascii="Times New Roman" w:hAnsi="Times New Roman" w:eastAsia="仿宋_GB2312" w:cs="Times New Roman"/>
          <w:color w:val="auto"/>
          <w:kern w:val="0"/>
          <w:sz w:val="32"/>
          <w:szCs w:val="32"/>
          <w:highlight w:val="none"/>
          <w:lang w:val="en-US" w:eastAsia="zh-CN"/>
        </w:rPr>
        <w:t>的10%给予</w:t>
      </w:r>
      <w:r>
        <w:rPr>
          <w:rFonts w:hint="eastAsia" w:ascii="Times New Roman" w:hAnsi="Times New Roman" w:eastAsia="仿宋_GB2312" w:cs="Times New Roman"/>
          <w:color w:val="auto"/>
          <w:kern w:val="0"/>
          <w:sz w:val="32"/>
          <w:szCs w:val="32"/>
          <w:highlight w:val="none"/>
          <w:lang w:val="en-US" w:eastAsia="zh-CN"/>
        </w:rPr>
        <w:t>配套</w:t>
      </w:r>
      <w:r>
        <w:rPr>
          <w:rFonts w:hint="default" w:ascii="Times New Roman" w:hAnsi="Times New Roman" w:eastAsia="仿宋_GB2312" w:cs="Times New Roman"/>
          <w:color w:val="auto"/>
          <w:kern w:val="0"/>
          <w:sz w:val="32"/>
          <w:szCs w:val="32"/>
          <w:highlight w:val="none"/>
          <w:lang w:val="en-US" w:eastAsia="zh-CN"/>
        </w:rPr>
        <w:t>，最高奖补1000万元。支持企业开展技术创新，对新获认定的国家级制造业创新中心给予配套支持，对国家级、省级</w:t>
      </w:r>
      <w:r>
        <w:rPr>
          <w:rFonts w:hint="eastAsia" w:ascii="Times New Roman" w:hAnsi="Times New Roman" w:eastAsia="仿宋_GB2312" w:cs="Times New Roman"/>
          <w:color w:val="auto"/>
          <w:kern w:val="0"/>
          <w:sz w:val="32"/>
          <w:szCs w:val="32"/>
          <w:highlight w:val="none"/>
          <w:lang w:val="en-US" w:eastAsia="zh-CN"/>
        </w:rPr>
        <w:t>制造业中试平台、</w:t>
      </w:r>
      <w:r>
        <w:rPr>
          <w:rFonts w:hint="default" w:ascii="Times New Roman" w:hAnsi="Times New Roman" w:eastAsia="仿宋_GB2312" w:cs="Times New Roman"/>
          <w:color w:val="auto"/>
          <w:kern w:val="0"/>
          <w:sz w:val="32"/>
          <w:szCs w:val="32"/>
          <w:highlight w:val="none"/>
          <w:lang w:val="en-US" w:eastAsia="zh-CN"/>
        </w:rPr>
        <w:t>企业技术中心、工业设计中心等创新载体分别给予最高100万元、</w:t>
      </w:r>
      <w:r>
        <w:rPr>
          <w:rFonts w:hint="eastAsia" w:ascii="Times New Roman" w:hAnsi="Times New Roman" w:eastAsia="仿宋_GB2312" w:cs="Times New Roman"/>
          <w:color w:val="auto"/>
          <w:kern w:val="0"/>
          <w:sz w:val="32"/>
          <w:szCs w:val="32"/>
          <w:highlight w:val="none"/>
          <w:lang w:val="en-US" w:eastAsia="zh-CN"/>
        </w:rPr>
        <w:t>3</w:t>
      </w:r>
      <w:r>
        <w:rPr>
          <w:rFonts w:hint="default" w:ascii="Times New Roman" w:hAnsi="Times New Roman" w:eastAsia="仿宋_GB2312" w:cs="Times New Roman"/>
          <w:color w:val="auto"/>
          <w:kern w:val="0"/>
          <w:sz w:val="32"/>
          <w:szCs w:val="32"/>
          <w:highlight w:val="none"/>
          <w:lang w:val="en-US" w:eastAsia="zh-CN"/>
        </w:rPr>
        <w:t>0万元奖励。</w:t>
      </w:r>
    </w:p>
    <w:p w14:paraId="4D3CABBD">
      <w:pPr>
        <w:keepNext w:val="0"/>
        <w:keepLines w:val="0"/>
        <w:pageBreakBefore w:val="0"/>
        <w:numPr>
          <w:ilvl w:val="-1"/>
          <w:numId w:val="0"/>
        </w:numPr>
        <w:wordWrap/>
        <w:overflowPunct/>
        <w:topLinePunct w:val="0"/>
        <w:bidi w:val="0"/>
        <w:spacing w:line="576" w:lineRule="exact"/>
        <w:ind w:right="81" w:firstLine="643" w:firstLineChars="200"/>
        <w:contextualSpacing/>
        <w:jc w:val="both"/>
        <w:rPr>
          <w:rFonts w:hint="eastAsia" w:ascii="Times New Roman" w:hAnsi="Times New Roman" w:eastAsia="仿宋_GB2312" w:cs="Times New Roman"/>
          <w:strike w:val="0"/>
          <w:dstrike w:val="0"/>
          <w:color w:val="auto"/>
          <w:kern w:val="0"/>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3.支持企业稳产能拓市场。</w:t>
      </w:r>
      <w:r>
        <w:rPr>
          <w:rFonts w:hint="default" w:ascii="Times New Roman" w:hAnsi="Times New Roman" w:eastAsia="仿宋_GB2312" w:cs="Times New Roman"/>
          <w:color w:val="auto"/>
          <w:kern w:val="0"/>
          <w:sz w:val="32"/>
          <w:szCs w:val="32"/>
          <w:highlight w:val="none"/>
          <w:lang w:val="en-US" w:eastAsia="zh-CN"/>
        </w:rPr>
        <w:t>支持企业优化业务和产品结构，提升产品竞争力，争取更多订单和市场</w:t>
      </w:r>
      <w:r>
        <w:rPr>
          <w:rFonts w:hint="eastAsia" w:ascii="Times New Roman" w:hAnsi="Times New Roman" w:eastAsia="仿宋_GB2312" w:cs="Times New Roman"/>
          <w:color w:val="auto"/>
          <w:kern w:val="0"/>
          <w:sz w:val="32"/>
          <w:szCs w:val="32"/>
          <w:highlight w:val="none"/>
          <w:lang w:val="en-US" w:eastAsia="zh-CN"/>
        </w:rPr>
        <w:t>，</w:t>
      </w:r>
      <w:r>
        <w:rPr>
          <w:rFonts w:hint="eastAsia" w:ascii="Times New Roman" w:hAnsi="Times New Roman" w:eastAsia="仿宋_GB2312" w:cs="Times New Roman"/>
          <w:strike w:val="0"/>
          <w:dstrike w:val="0"/>
          <w:color w:val="auto"/>
          <w:kern w:val="0"/>
          <w:sz w:val="32"/>
          <w:szCs w:val="32"/>
          <w:highlight w:val="none"/>
          <w:lang w:val="en-US" w:eastAsia="zh-CN"/>
        </w:rPr>
        <w:t>鼓励企业参与供需对接活动</w:t>
      </w:r>
      <w:r>
        <w:rPr>
          <w:rFonts w:hint="default" w:ascii="Times New Roman" w:hAnsi="Times New Roman" w:eastAsia="仿宋_GB2312" w:cs="Times New Roman"/>
          <w:color w:val="auto"/>
          <w:kern w:val="0"/>
          <w:sz w:val="32"/>
          <w:szCs w:val="32"/>
          <w:highlight w:val="none"/>
          <w:lang w:val="en-US" w:eastAsia="zh-CN"/>
        </w:rPr>
        <w:t>，市级层面将</w:t>
      </w:r>
      <w:r>
        <w:rPr>
          <w:rFonts w:hint="eastAsia" w:ascii="Times New Roman" w:hAnsi="Times New Roman" w:eastAsia="仿宋_GB2312" w:cs="Times New Roman"/>
          <w:color w:val="auto"/>
          <w:kern w:val="0"/>
          <w:sz w:val="32"/>
          <w:szCs w:val="32"/>
          <w:highlight w:val="none"/>
          <w:lang w:val="en-US" w:eastAsia="zh-CN"/>
        </w:rPr>
        <w:t>统</w:t>
      </w:r>
      <w:r>
        <w:rPr>
          <w:rFonts w:hint="default" w:ascii="Times New Roman" w:hAnsi="Times New Roman" w:eastAsia="仿宋_GB2312" w:cs="Times New Roman"/>
          <w:color w:val="auto"/>
          <w:kern w:val="0"/>
          <w:sz w:val="32"/>
          <w:szCs w:val="32"/>
          <w:highlight w:val="none"/>
          <w:lang w:val="en-US" w:eastAsia="zh-CN"/>
        </w:rPr>
        <w:t>筹企业稳增长情况</w:t>
      </w:r>
      <w:r>
        <w:rPr>
          <w:rFonts w:hint="eastAsia" w:ascii="Times New Roman" w:hAnsi="Times New Roman" w:eastAsia="仿宋_GB2312" w:cs="Times New Roman"/>
          <w:strike w:val="0"/>
          <w:dstrike w:val="0"/>
          <w:color w:val="auto"/>
          <w:kern w:val="0"/>
          <w:sz w:val="32"/>
          <w:szCs w:val="32"/>
          <w:highlight w:val="none"/>
          <w:lang w:val="en-US" w:eastAsia="zh-CN"/>
        </w:rPr>
        <w:t>按照一定比例</w:t>
      </w:r>
      <w:r>
        <w:rPr>
          <w:rFonts w:hint="default" w:ascii="Times New Roman" w:hAnsi="Times New Roman" w:eastAsia="仿宋_GB2312" w:cs="Times New Roman"/>
          <w:color w:val="auto"/>
          <w:kern w:val="0"/>
          <w:sz w:val="32"/>
          <w:szCs w:val="32"/>
          <w:highlight w:val="none"/>
          <w:lang w:val="en-US" w:eastAsia="zh-CN"/>
        </w:rPr>
        <w:t>给予相应板块一定的正向激励</w:t>
      </w:r>
      <w:r>
        <w:rPr>
          <w:rFonts w:hint="eastAsia" w:ascii="Times New Roman" w:hAnsi="Times New Roman" w:eastAsia="仿宋_GB2312" w:cs="Times New Roman"/>
          <w:strike w:val="0"/>
          <w:dstrike w:val="0"/>
          <w:color w:val="auto"/>
          <w:kern w:val="0"/>
          <w:sz w:val="32"/>
          <w:szCs w:val="32"/>
          <w:highlight w:val="none"/>
          <w:lang w:val="en-US" w:eastAsia="zh-CN"/>
        </w:rPr>
        <w:t>。</w:t>
      </w:r>
    </w:p>
    <w:p w14:paraId="163B44A2">
      <w:pPr>
        <w:keepNext w:val="0"/>
        <w:keepLines w:val="0"/>
        <w:pageBreakBefore w:val="0"/>
        <w:numPr>
          <w:ilvl w:val="-1"/>
          <w:numId w:val="0"/>
        </w:numPr>
        <w:wordWrap/>
        <w:overflowPunct/>
        <w:topLinePunct w:val="0"/>
        <w:bidi w:val="0"/>
        <w:spacing w:line="576" w:lineRule="exact"/>
        <w:ind w:right="81" w:firstLine="643" w:firstLineChars="200"/>
        <w:contextualSpacing/>
        <w:jc w:val="both"/>
        <w:rPr>
          <w:rFonts w:hint="default"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4</w:t>
      </w:r>
      <w:r>
        <w:rPr>
          <w:rFonts w:hint="default" w:ascii="Times New Roman" w:hAnsi="Times New Roman" w:eastAsia="楷体_GB2312" w:cs="Times New Roman"/>
          <w:b/>
          <w:bCs/>
          <w:color w:val="auto"/>
          <w:sz w:val="32"/>
          <w:szCs w:val="32"/>
          <w:highlight w:val="none"/>
          <w:lang w:val="en-US" w:eastAsia="zh-CN"/>
        </w:rPr>
        <w:t>.支持企业</w:t>
      </w:r>
      <w:r>
        <w:rPr>
          <w:rFonts w:hint="eastAsia" w:ascii="Times New Roman" w:hAnsi="Times New Roman" w:eastAsia="楷体_GB2312" w:cs="Times New Roman"/>
          <w:b/>
          <w:bCs/>
          <w:color w:val="auto"/>
          <w:sz w:val="32"/>
          <w:szCs w:val="32"/>
          <w:highlight w:val="none"/>
          <w:lang w:val="en-US" w:eastAsia="zh-CN"/>
        </w:rPr>
        <w:t>产品</w:t>
      </w:r>
      <w:r>
        <w:rPr>
          <w:rFonts w:hint="default" w:ascii="Times New Roman" w:hAnsi="Times New Roman" w:eastAsia="楷体_GB2312" w:cs="Times New Roman"/>
          <w:b/>
          <w:bCs/>
          <w:color w:val="auto"/>
          <w:sz w:val="32"/>
          <w:szCs w:val="32"/>
          <w:highlight w:val="none"/>
          <w:lang w:val="en-US" w:eastAsia="zh-CN"/>
        </w:rPr>
        <w:t>应用突破。</w:t>
      </w:r>
      <w:r>
        <w:rPr>
          <w:rFonts w:hint="default" w:ascii="Times New Roman" w:hAnsi="Times New Roman" w:eastAsia="仿宋_GB2312" w:cs="Times New Roman"/>
          <w:color w:val="auto"/>
          <w:kern w:val="0"/>
          <w:sz w:val="32"/>
          <w:szCs w:val="32"/>
          <w:highlight w:val="none"/>
          <w:lang w:val="en-US" w:eastAsia="zh-CN"/>
        </w:rPr>
        <w:t>加快首台（套）装备、首批次新材料和首版次软件（简称“三首”产品）研发应用，对于年度获得省级“三首”产品认定的企业，给予最高50万元的一次性奖励。支持企业开展新产品的研发应用推广，对</w:t>
      </w:r>
      <w:r>
        <w:rPr>
          <w:rFonts w:hint="eastAsia" w:ascii="Times New Roman" w:hAnsi="Times New Roman" w:eastAsia="仿宋_GB2312" w:cs="Times New Roman"/>
          <w:color w:val="auto"/>
          <w:kern w:val="0"/>
          <w:sz w:val="32"/>
          <w:szCs w:val="32"/>
          <w:highlight w:val="none"/>
          <w:lang w:val="en-US" w:eastAsia="zh-CN"/>
        </w:rPr>
        <w:t>相关新兴产业领域企业</w:t>
      </w:r>
      <w:r>
        <w:rPr>
          <w:rFonts w:hint="default" w:ascii="Times New Roman" w:hAnsi="Times New Roman" w:eastAsia="仿宋_GB2312" w:cs="Times New Roman"/>
          <w:color w:val="auto"/>
          <w:kern w:val="0"/>
          <w:sz w:val="32"/>
          <w:szCs w:val="32"/>
          <w:highlight w:val="none"/>
          <w:lang w:val="en-US" w:eastAsia="zh-CN"/>
        </w:rPr>
        <w:t>，</w:t>
      </w:r>
      <w:r>
        <w:rPr>
          <w:rFonts w:hint="eastAsia" w:ascii="Times New Roman" w:hAnsi="Times New Roman" w:eastAsia="仿宋_GB2312" w:cs="Times New Roman"/>
          <w:color w:val="auto"/>
          <w:kern w:val="0"/>
          <w:sz w:val="32"/>
          <w:szCs w:val="32"/>
          <w:highlight w:val="none"/>
          <w:lang w:val="en-US" w:eastAsia="zh-CN"/>
        </w:rPr>
        <w:t>经认定</w:t>
      </w:r>
      <w:r>
        <w:rPr>
          <w:rFonts w:hint="default" w:ascii="Times New Roman" w:hAnsi="Times New Roman" w:eastAsia="仿宋_GB2312" w:cs="Times New Roman"/>
          <w:color w:val="auto"/>
          <w:kern w:val="0"/>
          <w:sz w:val="32"/>
          <w:szCs w:val="32"/>
          <w:highlight w:val="none"/>
          <w:lang w:val="en-US" w:eastAsia="zh-CN"/>
        </w:rPr>
        <w:t>按照当年度新产品推广订单额的50%给予奖补，最高20万元，同一企业仅可获得奖补一次。</w:t>
      </w:r>
    </w:p>
    <w:p w14:paraId="199E6070">
      <w:pPr>
        <w:keepNext w:val="0"/>
        <w:keepLines w:val="0"/>
        <w:pageBreakBefore w:val="0"/>
        <w:wordWrap/>
        <w:overflowPunct/>
        <w:topLinePunct w:val="0"/>
        <w:autoSpaceDE w:val="0"/>
        <w:autoSpaceDN w:val="0"/>
        <w:bidi w:val="0"/>
        <w:adjustRightInd w:val="0"/>
        <w:spacing w:line="576" w:lineRule="exact"/>
        <w:ind w:firstLine="643" w:firstLineChars="200"/>
        <w:jc w:val="both"/>
        <w:rPr>
          <w:rFonts w:hint="default"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5</w:t>
      </w:r>
      <w:r>
        <w:rPr>
          <w:rFonts w:hint="default" w:ascii="Times New Roman" w:hAnsi="Times New Roman" w:eastAsia="楷体_GB2312" w:cs="Times New Roman"/>
          <w:b/>
          <w:bCs/>
          <w:color w:val="auto"/>
          <w:sz w:val="32"/>
          <w:szCs w:val="32"/>
          <w:highlight w:val="none"/>
          <w:lang w:val="en-US" w:eastAsia="zh-CN"/>
        </w:rPr>
        <w:t>.支持企业</w:t>
      </w:r>
      <w:r>
        <w:rPr>
          <w:rFonts w:hint="eastAsia" w:ascii="Times New Roman" w:hAnsi="Times New Roman" w:eastAsia="楷体_GB2312" w:cs="Times New Roman"/>
          <w:b/>
          <w:bCs/>
          <w:color w:val="auto"/>
          <w:sz w:val="32"/>
          <w:szCs w:val="32"/>
          <w:highlight w:val="none"/>
          <w:lang w:val="en-US" w:eastAsia="zh-CN"/>
        </w:rPr>
        <w:t>“智改数转网联”提升。</w:t>
      </w:r>
      <w:r>
        <w:rPr>
          <w:rFonts w:hint="default" w:ascii="Times New Roman" w:hAnsi="Times New Roman" w:eastAsia="仿宋_GB2312" w:cs="Times New Roman"/>
          <w:color w:val="auto"/>
          <w:kern w:val="0"/>
          <w:sz w:val="32"/>
          <w:szCs w:val="32"/>
          <w:highlight w:val="none"/>
          <w:lang w:val="en-US" w:eastAsia="zh-CN"/>
        </w:rPr>
        <w:t>鼓励企业开展智能工厂</w:t>
      </w:r>
      <w:r>
        <w:rPr>
          <w:rFonts w:hint="eastAsia" w:ascii="Times New Roman" w:hAnsi="Times New Roman" w:eastAsia="仿宋_GB2312" w:cs="Times New Roman"/>
          <w:color w:val="auto"/>
          <w:kern w:val="0"/>
          <w:sz w:val="32"/>
          <w:szCs w:val="32"/>
          <w:highlight w:val="none"/>
          <w:lang w:val="en-US" w:eastAsia="zh-CN"/>
        </w:rPr>
        <w:t>梯度</w:t>
      </w:r>
      <w:r>
        <w:rPr>
          <w:rFonts w:hint="default" w:ascii="Times New Roman" w:hAnsi="Times New Roman" w:eastAsia="仿宋_GB2312" w:cs="Times New Roman"/>
          <w:color w:val="auto"/>
          <w:kern w:val="0"/>
          <w:sz w:val="32"/>
          <w:szCs w:val="32"/>
          <w:highlight w:val="none"/>
          <w:lang w:val="en-US" w:eastAsia="zh-CN"/>
        </w:rPr>
        <w:t>建设，对获得先进级、卓越级、领航级智能工厂认定的企业，分别给予最高50万元、100万元、300万元的一次性奖励。支持建设行业大脑，对</w:t>
      </w:r>
      <w:r>
        <w:rPr>
          <w:rFonts w:hint="eastAsia" w:ascii="Times New Roman" w:hAnsi="Times New Roman" w:eastAsia="仿宋_GB2312" w:cs="Times New Roman"/>
          <w:color w:val="auto"/>
          <w:kern w:val="0"/>
          <w:sz w:val="32"/>
          <w:szCs w:val="32"/>
          <w:highlight w:val="none"/>
          <w:lang w:val="en-US" w:eastAsia="zh-CN"/>
        </w:rPr>
        <w:t>经</w:t>
      </w:r>
      <w:r>
        <w:rPr>
          <w:rFonts w:hint="default" w:ascii="Times New Roman" w:hAnsi="Times New Roman" w:eastAsia="仿宋_GB2312" w:cs="Times New Roman"/>
          <w:color w:val="auto"/>
          <w:kern w:val="0"/>
          <w:sz w:val="32"/>
          <w:szCs w:val="32"/>
          <w:highlight w:val="none"/>
          <w:lang w:val="en-US" w:eastAsia="zh-CN"/>
        </w:rPr>
        <w:t>苏州</w:t>
      </w:r>
      <w:r>
        <w:rPr>
          <w:rFonts w:hint="eastAsia" w:ascii="Times New Roman" w:hAnsi="Times New Roman" w:eastAsia="仿宋_GB2312" w:cs="Times New Roman"/>
          <w:color w:val="auto"/>
          <w:kern w:val="0"/>
          <w:sz w:val="32"/>
          <w:szCs w:val="32"/>
          <w:highlight w:val="none"/>
          <w:lang w:val="en-US" w:eastAsia="zh-CN"/>
        </w:rPr>
        <w:t>评审通过</w:t>
      </w:r>
      <w:r>
        <w:rPr>
          <w:rFonts w:hint="default" w:ascii="Times New Roman" w:hAnsi="Times New Roman" w:eastAsia="仿宋_GB2312" w:cs="Times New Roman"/>
          <w:color w:val="auto"/>
          <w:kern w:val="0"/>
          <w:sz w:val="32"/>
          <w:szCs w:val="32"/>
          <w:highlight w:val="none"/>
          <w:lang w:val="en-US" w:eastAsia="zh-CN"/>
        </w:rPr>
        <w:t>的项目，给予50万元的一次性奖励；根据行业大脑运营情况，累计</w:t>
      </w:r>
      <w:r>
        <w:rPr>
          <w:rFonts w:hint="eastAsia" w:ascii="Times New Roman" w:hAnsi="Times New Roman" w:eastAsia="仿宋_GB2312" w:cs="Times New Roman"/>
          <w:color w:val="auto"/>
          <w:kern w:val="0"/>
          <w:sz w:val="32"/>
          <w:szCs w:val="32"/>
          <w:highlight w:val="none"/>
          <w:lang w:val="en-US" w:eastAsia="zh-CN"/>
        </w:rPr>
        <w:t>奖补</w:t>
      </w:r>
      <w:r>
        <w:rPr>
          <w:rFonts w:hint="default" w:ascii="Times New Roman" w:hAnsi="Times New Roman" w:eastAsia="仿宋_GB2312" w:cs="Times New Roman"/>
          <w:color w:val="auto"/>
          <w:kern w:val="0"/>
          <w:sz w:val="32"/>
          <w:szCs w:val="32"/>
          <w:highlight w:val="none"/>
          <w:lang w:val="en-US" w:eastAsia="zh-CN"/>
        </w:rPr>
        <w:t>不超过100万元。</w:t>
      </w:r>
    </w:p>
    <w:p w14:paraId="12FFECC3">
      <w:pPr>
        <w:keepNext w:val="0"/>
        <w:keepLines w:val="0"/>
        <w:pageBreakBefore w:val="0"/>
        <w:numPr>
          <w:ilvl w:val="-1"/>
          <w:numId w:val="0"/>
        </w:numPr>
        <w:wordWrap/>
        <w:overflowPunct/>
        <w:topLinePunct w:val="0"/>
        <w:bidi w:val="0"/>
        <w:spacing w:line="576" w:lineRule="exact"/>
        <w:ind w:right="81" w:firstLine="643" w:firstLineChars="200"/>
        <w:contextualSpacing/>
        <w:jc w:val="both"/>
        <w:rPr>
          <w:rFonts w:hint="default" w:ascii="Times New Roman" w:hAnsi="Times New Roman" w:eastAsia="楷体_GB2312" w:cs="Times New Roman"/>
          <w:b/>
          <w:bCs/>
          <w:color w:val="auto"/>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6.支持企业绿色低碳转型。</w:t>
      </w:r>
      <w:r>
        <w:rPr>
          <w:rFonts w:hint="default" w:ascii="Times New Roman" w:hAnsi="Times New Roman" w:eastAsia="仿宋_GB2312" w:cs="Times New Roman"/>
          <w:color w:val="auto"/>
          <w:kern w:val="0"/>
          <w:sz w:val="32"/>
          <w:szCs w:val="32"/>
          <w:highlight w:val="none"/>
          <w:lang w:val="en-US" w:eastAsia="zh-CN"/>
        </w:rPr>
        <w:t>鼓励企业开展绿色制造体系建设，全面采用先进节能降碳技术</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rPr>
        <w:t>工艺流程再造、非化石能源替代、资源循环利用等方式，将绿色低碳发展理念贯穿于生产运行各个环节，对获得国家级、省级绿色制造体系认定的企业分别给予最高50万元、30万元奖励，</w:t>
      </w:r>
      <w:r>
        <w:rPr>
          <w:rFonts w:hint="eastAsia" w:ascii="仿宋_GB2312" w:eastAsia="仿宋_GB2312"/>
          <w:sz w:val="32"/>
          <w:szCs w:val="32"/>
          <w:highlight w:val="none"/>
        </w:rPr>
        <w:t>对获得国家级能效“领跑者”认定的企业给予最高50万元奖励，</w:t>
      </w:r>
      <w:r>
        <w:rPr>
          <w:rFonts w:hint="default" w:ascii="Times New Roman" w:hAnsi="Times New Roman" w:eastAsia="仿宋_GB2312" w:cs="Times New Roman"/>
          <w:color w:val="auto"/>
          <w:kern w:val="0"/>
          <w:sz w:val="32"/>
          <w:szCs w:val="32"/>
          <w:highlight w:val="none"/>
          <w:lang w:val="en-US" w:eastAsia="zh-CN"/>
        </w:rPr>
        <w:t>对获得省级</w:t>
      </w:r>
      <w:r>
        <w:rPr>
          <w:rFonts w:hint="eastAsia" w:ascii="Times New Roman" w:hAnsi="Times New Roman" w:eastAsia="仿宋_GB2312" w:cs="Times New Roman"/>
          <w:color w:val="auto"/>
          <w:kern w:val="0"/>
          <w:sz w:val="32"/>
          <w:szCs w:val="32"/>
          <w:highlight w:val="none"/>
          <w:lang w:val="en-US" w:eastAsia="zh-CN"/>
        </w:rPr>
        <w:t>及</w:t>
      </w:r>
      <w:r>
        <w:rPr>
          <w:rFonts w:hint="default" w:ascii="Times New Roman" w:hAnsi="Times New Roman" w:eastAsia="仿宋_GB2312" w:cs="Times New Roman"/>
          <w:color w:val="auto"/>
          <w:kern w:val="0"/>
          <w:sz w:val="32"/>
          <w:szCs w:val="32"/>
          <w:highlight w:val="none"/>
          <w:lang w:val="en-US" w:eastAsia="zh-CN"/>
        </w:rPr>
        <w:t>以上“近零碳”“零碳”认定的企业分别给予最高100万元奖励。</w:t>
      </w:r>
    </w:p>
    <w:p w14:paraId="55F2D208">
      <w:pPr>
        <w:keepNext w:val="0"/>
        <w:keepLines w:val="0"/>
        <w:pageBreakBefore w:val="0"/>
        <w:numPr>
          <w:ilvl w:val="-1"/>
          <w:numId w:val="0"/>
        </w:numPr>
        <w:wordWrap/>
        <w:overflowPunct/>
        <w:topLinePunct w:val="0"/>
        <w:bidi w:val="0"/>
        <w:spacing w:line="576" w:lineRule="exact"/>
        <w:ind w:right="81" w:firstLine="643" w:firstLineChars="200"/>
        <w:contextualSpacing/>
        <w:jc w:val="both"/>
        <w:rPr>
          <w:rFonts w:hint="default"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7</w:t>
      </w:r>
      <w:r>
        <w:rPr>
          <w:rFonts w:hint="default" w:ascii="Times New Roman" w:hAnsi="Times New Roman" w:eastAsia="楷体_GB2312" w:cs="Times New Roman"/>
          <w:b/>
          <w:bCs/>
          <w:color w:val="auto"/>
          <w:sz w:val="32"/>
          <w:szCs w:val="32"/>
          <w:highlight w:val="none"/>
          <w:lang w:val="en-US" w:eastAsia="zh-CN"/>
        </w:rPr>
        <w:t>.加大专精特新和高成长企业支持力度。</w:t>
      </w:r>
      <w:r>
        <w:rPr>
          <w:rFonts w:hint="default" w:ascii="Times New Roman" w:hAnsi="Times New Roman" w:eastAsia="仿宋_GB2312" w:cs="Times New Roman"/>
          <w:color w:val="auto"/>
          <w:kern w:val="0"/>
          <w:sz w:val="32"/>
          <w:szCs w:val="32"/>
          <w:highlight w:val="none"/>
          <w:lang w:val="en-US" w:eastAsia="zh-CN"/>
        </w:rPr>
        <w:t>全力推动专精特新“育林参天”行动，支持中小企业聚焦主业、深耕细分领域，打造更多“独门绝技”。对</w:t>
      </w:r>
      <w:r>
        <w:rPr>
          <w:rFonts w:hint="eastAsia" w:ascii="Times New Roman" w:hAnsi="Times New Roman" w:eastAsia="仿宋_GB2312" w:cs="Times New Roman"/>
          <w:color w:val="auto"/>
          <w:kern w:val="0"/>
          <w:sz w:val="32"/>
          <w:szCs w:val="32"/>
          <w:highlight w:val="none"/>
          <w:lang w:val="en-US" w:eastAsia="zh-CN"/>
        </w:rPr>
        <w:t>首次完成</w:t>
      </w:r>
      <w:r>
        <w:rPr>
          <w:rFonts w:hint="default" w:ascii="Times New Roman" w:hAnsi="Times New Roman" w:eastAsia="仿宋_GB2312" w:cs="Times New Roman"/>
          <w:color w:val="auto"/>
          <w:kern w:val="0"/>
          <w:sz w:val="32"/>
          <w:szCs w:val="32"/>
          <w:highlight w:val="none"/>
          <w:lang w:val="en-US" w:eastAsia="zh-CN"/>
        </w:rPr>
        <w:t>省级专精特新</w:t>
      </w:r>
      <w:r>
        <w:rPr>
          <w:rFonts w:hint="eastAsia" w:ascii="Times New Roman" w:hAnsi="Times New Roman" w:eastAsia="仿宋_GB2312" w:cs="Times New Roman"/>
          <w:color w:val="auto"/>
          <w:kern w:val="0"/>
          <w:sz w:val="32"/>
          <w:szCs w:val="32"/>
          <w:highlight w:val="none"/>
          <w:lang w:val="en-US" w:eastAsia="zh-CN"/>
        </w:rPr>
        <w:t>中小企业</w:t>
      </w:r>
      <w:r>
        <w:rPr>
          <w:rFonts w:hint="default" w:ascii="Times New Roman" w:hAnsi="Times New Roman" w:eastAsia="仿宋_GB2312" w:cs="Times New Roman"/>
          <w:color w:val="auto"/>
          <w:kern w:val="0"/>
          <w:sz w:val="32"/>
          <w:szCs w:val="32"/>
          <w:highlight w:val="none"/>
          <w:lang w:val="en-US" w:eastAsia="zh-CN"/>
        </w:rPr>
        <w:t>有效申报的企业给予3万元一次性奖励</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rPr>
        <w:t>同一企业仅可获得奖补一次</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rPr>
        <w:t>对国家级专精特新</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rPr>
        <w:t>小巨人</w:t>
      </w:r>
      <w:r>
        <w:rPr>
          <w:rFonts w:hint="eastAsia" w:ascii="Times New Roman" w:hAnsi="Times New Roman" w:eastAsia="仿宋_GB2312" w:cs="Times New Roman"/>
          <w:color w:val="auto"/>
          <w:kern w:val="0"/>
          <w:sz w:val="32"/>
          <w:szCs w:val="32"/>
          <w:highlight w:val="none"/>
          <w:lang w:val="en-US" w:eastAsia="zh-CN"/>
        </w:rPr>
        <w:t>”</w:t>
      </w:r>
      <w:r>
        <w:rPr>
          <w:rFonts w:hint="default" w:ascii="Times New Roman" w:hAnsi="Times New Roman" w:eastAsia="仿宋_GB2312" w:cs="Times New Roman"/>
          <w:color w:val="auto"/>
          <w:kern w:val="0"/>
          <w:sz w:val="32"/>
          <w:szCs w:val="32"/>
          <w:highlight w:val="none"/>
          <w:lang w:val="en-US" w:eastAsia="zh-CN"/>
        </w:rPr>
        <w:t>企</w:t>
      </w:r>
      <w:bookmarkStart w:id="0" w:name="_GoBack"/>
      <w:bookmarkEnd w:id="0"/>
      <w:r>
        <w:rPr>
          <w:rFonts w:hint="default" w:ascii="Times New Roman" w:hAnsi="Times New Roman" w:eastAsia="仿宋_GB2312" w:cs="Times New Roman"/>
          <w:color w:val="auto"/>
          <w:kern w:val="0"/>
          <w:sz w:val="32"/>
          <w:szCs w:val="32"/>
          <w:highlight w:val="none"/>
          <w:lang w:val="en-US" w:eastAsia="zh-CN"/>
        </w:rPr>
        <w:t>业、省级专精特新中小企业给</w:t>
      </w:r>
      <w:r>
        <w:rPr>
          <w:rFonts w:hint="eastAsia" w:ascii="Times New Roman" w:hAnsi="Times New Roman" w:eastAsia="仿宋_GB2312" w:cs="Times New Roman"/>
          <w:color w:val="auto"/>
          <w:kern w:val="0"/>
          <w:sz w:val="32"/>
          <w:szCs w:val="32"/>
          <w:highlight w:val="none"/>
          <w:lang w:val="en-US" w:eastAsia="zh-CN"/>
        </w:rPr>
        <w:t>予</w:t>
      </w:r>
      <w:r>
        <w:rPr>
          <w:rFonts w:hint="default" w:ascii="Times New Roman" w:hAnsi="Times New Roman" w:eastAsia="仿宋_GB2312" w:cs="Times New Roman"/>
          <w:color w:val="auto"/>
          <w:kern w:val="0"/>
          <w:sz w:val="32"/>
          <w:szCs w:val="32"/>
          <w:highlight w:val="none"/>
          <w:lang w:val="en-US" w:eastAsia="zh-CN"/>
        </w:rPr>
        <w:t>最高50万元、20万元奖励（含有效申报奖励），对获得国家级制造业单项冠军给予最高100万奖励。</w:t>
      </w:r>
    </w:p>
    <w:p w14:paraId="2B2118B9">
      <w:pPr>
        <w:keepNext w:val="0"/>
        <w:keepLines w:val="0"/>
        <w:pageBreakBefore w:val="0"/>
        <w:numPr>
          <w:ilvl w:val="-1"/>
          <w:numId w:val="0"/>
        </w:numPr>
        <w:wordWrap/>
        <w:overflowPunct/>
        <w:topLinePunct w:val="0"/>
        <w:bidi w:val="0"/>
        <w:spacing w:line="576" w:lineRule="exact"/>
        <w:ind w:right="81" w:firstLine="643" w:firstLineChars="200"/>
        <w:contextualSpacing/>
        <w:jc w:val="both"/>
        <w:rPr>
          <w:rFonts w:hint="default" w:ascii="Times New Roman" w:hAnsi="Times New Roman" w:eastAsia="仿宋_GB2312" w:cs="Times New Roman"/>
          <w:strike w:val="0"/>
          <w:dstrike w:val="0"/>
          <w:color w:val="auto"/>
          <w:kern w:val="0"/>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8</w:t>
      </w:r>
      <w:r>
        <w:rPr>
          <w:rFonts w:hint="default" w:ascii="Times New Roman" w:hAnsi="Times New Roman" w:eastAsia="楷体_GB2312" w:cs="Times New Roman"/>
          <w:b/>
          <w:bCs/>
          <w:color w:val="auto"/>
          <w:sz w:val="32"/>
          <w:szCs w:val="32"/>
          <w:highlight w:val="none"/>
          <w:lang w:val="en-US" w:eastAsia="zh-CN"/>
        </w:rPr>
        <w:t>.推进专业特色产业园提升发展。</w:t>
      </w:r>
      <w:r>
        <w:rPr>
          <w:rFonts w:hint="default" w:ascii="Times New Roman" w:hAnsi="Times New Roman" w:eastAsia="仿宋_GB2312" w:cs="Times New Roman"/>
          <w:color w:val="auto"/>
          <w:kern w:val="0"/>
          <w:sz w:val="32"/>
          <w:szCs w:val="32"/>
          <w:highlight w:val="none"/>
          <w:lang w:val="en-US" w:eastAsia="zh-CN"/>
        </w:rPr>
        <w:t>支持产业园专业化、特色化提升发展，以产出效益高、产业协同强、服务质量优为目标，每年</w:t>
      </w:r>
      <w:r>
        <w:rPr>
          <w:rFonts w:hint="eastAsia" w:ascii="Times New Roman" w:hAnsi="Times New Roman" w:eastAsia="仿宋_GB2312" w:cs="Times New Roman"/>
          <w:color w:val="auto"/>
          <w:kern w:val="0"/>
          <w:sz w:val="32"/>
          <w:szCs w:val="32"/>
          <w:highlight w:val="none"/>
          <w:lang w:val="en-US" w:eastAsia="zh-CN"/>
        </w:rPr>
        <w:t>认定一批市级专业特色产业园，</w:t>
      </w:r>
      <w:r>
        <w:rPr>
          <w:rFonts w:hint="default" w:ascii="Times New Roman" w:hAnsi="Times New Roman" w:eastAsia="仿宋_GB2312" w:cs="Times New Roman"/>
          <w:color w:val="auto"/>
          <w:kern w:val="0"/>
          <w:sz w:val="32"/>
          <w:szCs w:val="32"/>
          <w:highlight w:val="none"/>
          <w:lang w:val="en-US" w:eastAsia="zh-CN"/>
        </w:rPr>
        <w:t>给予最高100万元</w:t>
      </w:r>
      <w:r>
        <w:rPr>
          <w:rFonts w:hint="eastAsia" w:ascii="Times New Roman" w:hAnsi="Times New Roman" w:eastAsia="仿宋_GB2312" w:cs="Times New Roman"/>
          <w:color w:val="auto"/>
          <w:kern w:val="0"/>
          <w:sz w:val="32"/>
          <w:szCs w:val="32"/>
          <w:highlight w:val="none"/>
          <w:lang w:val="en-US" w:eastAsia="zh-CN"/>
        </w:rPr>
        <w:t>的</w:t>
      </w:r>
      <w:r>
        <w:rPr>
          <w:rFonts w:hint="default" w:ascii="Times New Roman" w:hAnsi="Times New Roman" w:eastAsia="仿宋_GB2312" w:cs="Times New Roman"/>
          <w:color w:val="auto"/>
          <w:kern w:val="0"/>
          <w:sz w:val="32"/>
          <w:szCs w:val="32"/>
          <w:highlight w:val="none"/>
          <w:lang w:val="en-US" w:eastAsia="zh-CN"/>
        </w:rPr>
        <w:t>一次性奖励。</w:t>
      </w:r>
    </w:p>
    <w:p w14:paraId="3618BAEB">
      <w:pPr>
        <w:keepNext w:val="0"/>
        <w:keepLines w:val="0"/>
        <w:pageBreakBefore w:val="0"/>
        <w:wordWrap/>
        <w:overflowPunct/>
        <w:topLinePunct w:val="0"/>
        <w:autoSpaceDE w:val="0"/>
        <w:autoSpaceDN w:val="0"/>
        <w:bidi w:val="0"/>
        <w:adjustRightInd w:val="0"/>
        <w:spacing w:line="576" w:lineRule="exact"/>
        <w:ind w:firstLine="643" w:firstLineChars="200"/>
        <w:jc w:val="both"/>
        <w:rPr>
          <w:rFonts w:hint="default" w:ascii="Times New Roman" w:hAnsi="Times New Roman" w:eastAsia="仿宋_GB2312" w:cs="Times New Roman"/>
          <w:color w:val="auto"/>
          <w:kern w:val="0"/>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9</w:t>
      </w:r>
      <w:r>
        <w:rPr>
          <w:rFonts w:hint="default" w:ascii="Times New Roman" w:hAnsi="Times New Roman" w:eastAsia="楷体_GB2312" w:cs="Times New Roman"/>
          <w:b/>
          <w:bCs/>
          <w:color w:val="auto"/>
          <w:sz w:val="32"/>
          <w:szCs w:val="32"/>
          <w:highlight w:val="none"/>
          <w:lang w:val="en-US" w:eastAsia="zh-CN"/>
        </w:rPr>
        <w:t>.持续营造创新</w:t>
      </w:r>
      <w:r>
        <w:rPr>
          <w:rFonts w:hint="eastAsia" w:ascii="Times New Roman" w:hAnsi="Times New Roman" w:eastAsia="楷体_GB2312" w:cs="Times New Roman"/>
          <w:b/>
          <w:bCs/>
          <w:color w:val="auto"/>
          <w:sz w:val="32"/>
          <w:szCs w:val="32"/>
          <w:highlight w:val="none"/>
          <w:lang w:val="en-US" w:eastAsia="zh-CN"/>
        </w:rPr>
        <w:t>发展</w:t>
      </w:r>
      <w:r>
        <w:rPr>
          <w:rFonts w:hint="default" w:ascii="Times New Roman" w:hAnsi="Times New Roman" w:eastAsia="楷体_GB2312" w:cs="Times New Roman"/>
          <w:b/>
          <w:bCs/>
          <w:color w:val="auto"/>
          <w:sz w:val="32"/>
          <w:szCs w:val="32"/>
          <w:highlight w:val="none"/>
          <w:lang w:val="en-US" w:eastAsia="zh-CN"/>
        </w:rPr>
        <w:t>生态。</w:t>
      </w:r>
      <w:r>
        <w:rPr>
          <w:rFonts w:hint="default" w:ascii="Times New Roman" w:hAnsi="Times New Roman" w:eastAsia="仿宋_GB2312" w:cs="Times New Roman"/>
          <w:color w:val="auto"/>
          <w:kern w:val="0"/>
          <w:sz w:val="32"/>
          <w:szCs w:val="32"/>
          <w:highlight w:val="none"/>
          <w:lang w:val="en-US" w:eastAsia="zh-CN"/>
        </w:rPr>
        <w:t>对具有公共服务性质的政策宣讲、产需对接、</w:t>
      </w:r>
      <w:r>
        <w:rPr>
          <w:rFonts w:hint="eastAsia" w:ascii="Times New Roman" w:hAnsi="Times New Roman" w:eastAsia="仿宋_GB2312" w:cs="Times New Roman"/>
          <w:color w:val="auto"/>
          <w:kern w:val="0"/>
          <w:sz w:val="32"/>
          <w:szCs w:val="32"/>
          <w:highlight w:val="none"/>
          <w:lang w:val="en-US" w:eastAsia="zh-CN"/>
        </w:rPr>
        <w:t>服务保障、</w:t>
      </w:r>
      <w:r>
        <w:rPr>
          <w:rFonts w:hint="default" w:ascii="Times New Roman" w:hAnsi="Times New Roman" w:eastAsia="仿宋_GB2312" w:cs="Times New Roman"/>
          <w:color w:val="auto"/>
          <w:kern w:val="0"/>
          <w:sz w:val="32"/>
          <w:szCs w:val="32"/>
          <w:highlight w:val="none"/>
          <w:lang w:val="en-US" w:eastAsia="zh-CN"/>
        </w:rPr>
        <w:t>业务培训、参观交流、参展参会给予相应补助</w:t>
      </w:r>
      <w:r>
        <w:rPr>
          <w:rFonts w:hint="eastAsia" w:ascii="Times New Roman" w:hAnsi="Times New Roman" w:eastAsia="仿宋_GB2312" w:cs="Times New Roman"/>
          <w:color w:val="auto"/>
          <w:kern w:val="0"/>
          <w:sz w:val="32"/>
          <w:szCs w:val="32"/>
          <w:highlight w:val="none"/>
          <w:lang w:val="en-US" w:eastAsia="zh-CN"/>
        </w:rPr>
        <w:t>和支持。强化品牌引领，支持户外运动领域企业开展品牌收购及受让。鼓励板块、企业开展先行先试，对投资规模大、带动作用强、示范效应好的重大项目，在培育、建设、推广过程中给予一定支持。</w:t>
      </w:r>
    </w:p>
    <w:p w14:paraId="1BC45C98">
      <w:pPr>
        <w:keepNext w:val="0"/>
        <w:keepLines w:val="0"/>
        <w:pageBreakBefore w:val="0"/>
        <w:wordWrap/>
        <w:overflowPunct/>
        <w:topLinePunct w:val="0"/>
        <w:autoSpaceDE w:val="0"/>
        <w:autoSpaceDN w:val="0"/>
        <w:bidi w:val="0"/>
        <w:adjustRightInd w:val="0"/>
        <w:spacing w:line="576" w:lineRule="exact"/>
        <w:ind w:firstLine="640" w:firstLineChars="200"/>
        <w:jc w:val="both"/>
        <w:rPr>
          <w:rFonts w:hint="default" w:ascii="Times New Roman" w:hAnsi="Times New Roman" w:eastAsia="仿宋_GB2312" w:cs="Times New Roman"/>
          <w:color w:val="auto"/>
          <w:kern w:val="0"/>
          <w:sz w:val="32"/>
          <w:szCs w:val="32"/>
          <w:highlight w:val="none"/>
          <w:lang w:val="en-US" w:eastAsia="zh-CN"/>
        </w:rPr>
      </w:pPr>
      <w:r>
        <w:rPr>
          <w:rFonts w:hint="default" w:ascii="Times New Roman" w:hAnsi="Times New Roman" w:eastAsia="仿宋_GB2312" w:cs="Times New Roman"/>
          <w:color w:val="auto"/>
          <w:kern w:val="0"/>
          <w:sz w:val="32"/>
          <w:szCs w:val="32"/>
          <w:highlight w:val="none"/>
          <w:lang w:val="en-US" w:eastAsia="zh-CN"/>
        </w:rPr>
        <w:t>本政策由常熟市人民政府负责解释，于2025年10月  日实施，有效期3年，政策所涉及资金按原渠道和财政体制要求落实，具体申报材料由市工信局另行制定申报指南，推动政策免申即享、直达快享。</w:t>
      </w:r>
    </w:p>
    <w:sectPr>
      <w:footerReference r:id="rId3" w:type="default"/>
      <w:pgSz w:w="11906" w:h="16838"/>
      <w:pgMar w:top="2098" w:right="1474" w:bottom="175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G Times (W1)">
    <w:altName w:val="Times New Roman"/>
    <w:panose1 w:val="00000000000000000000"/>
    <w:charset w:val="00"/>
    <w:family w:val="swiss"/>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D12983D0-50FA-4A27-A263-A00A424B0F59}"/>
  </w:font>
  <w:font w:name="Tahoma">
    <w:panose1 w:val="020B0604030504040204"/>
    <w:charset w:val="00"/>
    <w:family w:val="swiss"/>
    <w:pitch w:val="default"/>
    <w:sig w:usb0="E1002EFF" w:usb1="C000605B" w:usb2="00000029" w:usb3="00000000" w:csb0="200101FF" w:csb1="20280000"/>
    <w:embedRegular r:id="rId2" w:fontKey="{21A3A8BE-7C2A-41AE-946F-8572CD9975D2}"/>
  </w:font>
  <w:font w:name="Times">
    <w:altName w:val="Times New Roman"/>
    <w:panose1 w:val="02020603050405020304"/>
    <w:charset w:val="00"/>
    <w:family w:val="roman"/>
    <w:pitch w:val="default"/>
    <w:sig w:usb0="00000000" w:usb1="00000000" w:usb2="00000009" w:usb3="00000000" w:csb0="000001FF" w:csb1="00000000"/>
    <w:embedRegular r:id="rId3" w:fontKey="{B6DEFF9B-8444-4851-9659-90BD93D812B4}"/>
  </w:font>
  <w:font w:name="楷体_GB2312">
    <w:panose1 w:val="02010609030101010101"/>
    <w:charset w:val="86"/>
    <w:family w:val="modern"/>
    <w:pitch w:val="default"/>
    <w:sig w:usb0="00000001" w:usb1="080E0000" w:usb2="00000000" w:usb3="00000000" w:csb0="00040000" w:csb1="00000000"/>
    <w:embedRegular r:id="rId4" w:fontKey="{84E00129-88F8-44B4-B90B-4DAD415EC87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33D9D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B2340A">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B2340A">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lYWI4YTljY2I2NDdlYmJjNzQyYzk1ZGNkMDg2YjUifQ=="/>
  </w:docVars>
  <w:rsids>
    <w:rsidRoot w:val="2BA6567A"/>
    <w:rsid w:val="01D049A3"/>
    <w:rsid w:val="033771D1"/>
    <w:rsid w:val="03C377B9"/>
    <w:rsid w:val="059D3E1F"/>
    <w:rsid w:val="0A6827FE"/>
    <w:rsid w:val="0AE51559"/>
    <w:rsid w:val="0B2F78DC"/>
    <w:rsid w:val="0D124418"/>
    <w:rsid w:val="0EE501B8"/>
    <w:rsid w:val="0EF0290F"/>
    <w:rsid w:val="0F924184"/>
    <w:rsid w:val="121E232E"/>
    <w:rsid w:val="122761B2"/>
    <w:rsid w:val="16B523C0"/>
    <w:rsid w:val="17011D34"/>
    <w:rsid w:val="190A33DA"/>
    <w:rsid w:val="1B3A7D84"/>
    <w:rsid w:val="1B5F527B"/>
    <w:rsid w:val="1E9F0F59"/>
    <w:rsid w:val="1EC024D4"/>
    <w:rsid w:val="1F3E74FC"/>
    <w:rsid w:val="215C25EF"/>
    <w:rsid w:val="21DA4314"/>
    <w:rsid w:val="22705407"/>
    <w:rsid w:val="24360268"/>
    <w:rsid w:val="2A73664D"/>
    <w:rsid w:val="2B7C76A9"/>
    <w:rsid w:val="2BA6567A"/>
    <w:rsid w:val="2E2531DF"/>
    <w:rsid w:val="2FC6CA04"/>
    <w:rsid w:val="33B041DE"/>
    <w:rsid w:val="3AEC0481"/>
    <w:rsid w:val="3B6738F5"/>
    <w:rsid w:val="3CAF1767"/>
    <w:rsid w:val="433F48E8"/>
    <w:rsid w:val="455901E5"/>
    <w:rsid w:val="463454EC"/>
    <w:rsid w:val="46DB44D8"/>
    <w:rsid w:val="486F2ECA"/>
    <w:rsid w:val="48AB41EE"/>
    <w:rsid w:val="4B0C2380"/>
    <w:rsid w:val="4D9F4AB2"/>
    <w:rsid w:val="4EA23359"/>
    <w:rsid w:val="4F1911EF"/>
    <w:rsid w:val="4F9A0054"/>
    <w:rsid w:val="53F9FCBF"/>
    <w:rsid w:val="558A6A57"/>
    <w:rsid w:val="57A96425"/>
    <w:rsid w:val="58CD13DE"/>
    <w:rsid w:val="597C6A1D"/>
    <w:rsid w:val="5B6C1A49"/>
    <w:rsid w:val="5BFA26FD"/>
    <w:rsid w:val="5C0F3B78"/>
    <w:rsid w:val="5C171A4F"/>
    <w:rsid w:val="5C7927B0"/>
    <w:rsid w:val="5CBB785C"/>
    <w:rsid w:val="5F552188"/>
    <w:rsid w:val="5FF75515"/>
    <w:rsid w:val="60B54E67"/>
    <w:rsid w:val="61942B17"/>
    <w:rsid w:val="649961B6"/>
    <w:rsid w:val="661C7C50"/>
    <w:rsid w:val="669B76E1"/>
    <w:rsid w:val="66CC0A98"/>
    <w:rsid w:val="6ABE58E4"/>
    <w:rsid w:val="6B9E5DEC"/>
    <w:rsid w:val="6BCFCDC8"/>
    <w:rsid w:val="6C337045"/>
    <w:rsid w:val="6C5D4E02"/>
    <w:rsid w:val="6E4E76AC"/>
    <w:rsid w:val="6EE67BF2"/>
    <w:rsid w:val="6F4E0CB0"/>
    <w:rsid w:val="6FFF7E13"/>
    <w:rsid w:val="71081093"/>
    <w:rsid w:val="71301142"/>
    <w:rsid w:val="71EF77A7"/>
    <w:rsid w:val="72AF0D93"/>
    <w:rsid w:val="76B15872"/>
    <w:rsid w:val="7B0C27E9"/>
    <w:rsid w:val="7B98472A"/>
    <w:rsid w:val="7BE0D27E"/>
    <w:rsid w:val="7BE820AF"/>
    <w:rsid w:val="7C7E0C32"/>
    <w:rsid w:val="7E5E240A"/>
    <w:rsid w:val="7ED764DC"/>
    <w:rsid w:val="7FCB6648"/>
    <w:rsid w:val="7FFB1E25"/>
    <w:rsid w:val="BFBA5C94"/>
    <w:rsid w:val="BFDA77D8"/>
    <w:rsid w:val="CFDFBF7E"/>
    <w:rsid w:val="F0FFA595"/>
    <w:rsid w:val="F7DD4D04"/>
    <w:rsid w:val="FBE94057"/>
    <w:rsid w:val="FD4501C6"/>
    <w:rsid w:val="FEAF4CDD"/>
    <w:rsid w:val="FEEEAC24"/>
    <w:rsid w:val="FF9C3BCC"/>
    <w:rsid w:val="FFBE01D6"/>
    <w:rsid w:val="FFFDBC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paragraph" w:styleId="3">
    <w:name w:val="Body Text First Indent"/>
    <w:basedOn w:val="2"/>
    <w:next w:val="4"/>
    <w:qFormat/>
    <w:uiPriority w:val="0"/>
    <w:pPr>
      <w:ind w:firstLine="420"/>
    </w:pPr>
  </w:style>
  <w:style w:type="paragraph" w:styleId="4">
    <w:name w:val="toc 6"/>
    <w:basedOn w:val="1"/>
    <w:next w:val="1"/>
    <w:qFormat/>
    <w:uiPriority w:val="0"/>
    <w:pPr>
      <w:ind w:left="1400"/>
      <w:jc w:val="left"/>
    </w:pPr>
    <w:rPr>
      <w:rFonts w:ascii="CG Times (W1)" w:hAnsi="CG Times (W1)"/>
      <w:sz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610</Words>
  <Characters>622</Characters>
  <Lines>0</Lines>
  <Paragraphs>0</Paragraphs>
  <TotalTime>0</TotalTime>
  <ScaleCrop>false</ScaleCrop>
  <LinksUpToDate>false</LinksUpToDate>
  <CharactersWithSpaces>622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2025-01-27T16:46:00Z</dcterms:created>
  <dc:creator>JustinDay</dc:creator>
  <cp:lastModifiedBy>Lynn-J</cp:lastModifiedBy>
  <cp:lastPrinted>2025-03-15T11:55:00Z</cp:lastPrinted>
  <dcterms:modified xsi:type="dcterms:W3CDTF">2025-10-22T06:40:57Z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AF02C7AB66F244DBBAE04D2BE7AF11AF_13</vt:lpwstr>
  </property>
  <property fmtid="{D5CDD505-2E9C-101B-9397-08002B2CF9AE}" pid="4" name="KSOTemplateDocerSaveRecord">
    <vt:lpwstr>eyJoZGlkIjoiNDljZWVjOWMxMzQ1Y2E4OWY4M2IyZjUzM2VjMzlhZGYiLCJ1c2VySWQiOiIyMzUzMTYzNTkifQ==</vt:lpwstr>
  </property>
</Properties>
</file>