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39" w:rsidRPr="009047D1" w:rsidRDefault="00525539" w:rsidP="00525539">
      <w:pPr>
        <w:rPr>
          <w:rFonts w:ascii="仿宋_GB2312" w:eastAsia="仿宋_GB2312"/>
          <w:spacing w:val="-10"/>
          <w:sz w:val="30"/>
          <w:szCs w:val="30"/>
        </w:rPr>
      </w:pPr>
      <w:r w:rsidRPr="00177D66">
        <w:rPr>
          <w:rFonts w:ascii="仿宋_GB2312" w:eastAsia="仿宋_GB2312" w:hint="eastAsia"/>
          <w:sz w:val="30"/>
          <w:szCs w:val="30"/>
        </w:rPr>
        <w:t>附件</w:t>
      </w:r>
      <w:r w:rsidR="00F307AC">
        <w:rPr>
          <w:rFonts w:ascii="仿宋_GB2312" w:eastAsia="仿宋_GB2312"/>
          <w:sz w:val="30"/>
          <w:szCs w:val="30"/>
        </w:rPr>
        <w:t>2</w:t>
      </w:r>
      <w:r w:rsidRPr="00177D66">
        <w:rPr>
          <w:rFonts w:ascii="仿宋_GB2312" w:eastAsia="仿宋_GB2312" w:hint="eastAsia"/>
          <w:sz w:val="30"/>
          <w:szCs w:val="30"/>
        </w:rPr>
        <w:t>：</w:t>
      </w:r>
    </w:p>
    <w:p w:rsidR="00525539" w:rsidRPr="00024EDD" w:rsidRDefault="00525539" w:rsidP="00525539">
      <w:pPr>
        <w:spacing w:before="100" w:beforeAutospacing="1" w:after="100" w:afterAutospacing="1" w:line="500" w:lineRule="exact"/>
        <w:jc w:val="center"/>
        <w:rPr>
          <w:rFonts w:ascii="黑体" w:eastAsia="黑体" w:hAnsi="宋体"/>
          <w:w w:val="95"/>
          <w:sz w:val="36"/>
          <w:szCs w:val="36"/>
        </w:rPr>
      </w:pPr>
      <w:r w:rsidRPr="00024EDD">
        <w:rPr>
          <w:rFonts w:ascii="黑体" w:eastAsia="黑体" w:hAnsi="宋体" w:hint="eastAsia"/>
          <w:w w:val="95"/>
          <w:sz w:val="36"/>
          <w:szCs w:val="36"/>
        </w:rPr>
        <w:t>常熟市劳动关系</w:t>
      </w:r>
      <w:proofErr w:type="gramStart"/>
      <w:r w:rsidRPr="00024EDD">
        <w:rPr>
          <w:rFonts w:ascii="黑体" w:eastAsia="黑体" w:hAnsi="宋体" w:hint="eastAsia"/>
          <w:w w:val="95"/>
          <w:sz w:val="36"/>
          <w:szCs w:val="36"/>
        </w:rPr>
        <w:t>和谐企业</w:t>
      </w:r>
      <w:proofErr w:type="gramEnd"/>
      <w:r w:rsidRPr="00024EDD">
        <w:rPr>
          <w:rFonts w:ascii="黑体" w:eastAsia="黑体" w:hAnsi="宋体" w:hint="eastAsia"/>
          <w:w w:val="95"/>
          <w:sz w:val="36"/>
          <w:szCs w:val="36"/>
        </w:rPr>
        <w:t>测评表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529"/>
        <w:gridCol w:w="741"/>
        <w:gridCol w:w="3005"/>
        <w:gridCol w:w="783"/>
        <w:gridCol w:w="757"/>
        <w:gridCol w:w="757"/>
      </w:tblGrid>
      <w:tr w:rsidR="00525539" w:rsidRPr="00177D66" w:rsidTr="006A049D">
        <w:trPr>
          <w:trHeight w:val="567"/>
          <w:jc w:val="center"/>
        </w:trPr>
        <w:tc>
          <w:tcPr>
            <w:tcW w:w="3529" w:type="dxa"/>
            <w:tcBorders>
              <w:top w:val="single" w:sz="8" w:space="0" w:color="auto"/>
              <w:left w:val="single" w:sz="8" w:space="0" w:color="auto"/>
              <w:bottom w:val="single" w:sz="4" w:space="0" w:color="auto"/>
              <w:right w:val="single" w:sz="4" w:space="0" w:color="auto"/>
            </w:tcBorders>
            <w:vAlign w:val="center"/>
          </w:tcPr>
          <w:p w:rsidR="00525539" w:rsidRPr="00177D66" w:rsidRDefault="00525539" w:rsidP="006A049D">
            <w:pPr>
              <w:spacing w:line="200" w:lineRule="exact"/>
              <w:jc w:val="center"/>
              <w:rPr>
                <w:rFonts w:eastAsia="黑体"/>
                <w:sz w:val="18"/>
                <w:szCs w:val="18"/>
              </w:rPr>
            </w:pPr>
            <w:r w:rsidRPr="00177D66">
              <w:rPr>
                <w:rFonts w:eastAsia="黑体" w:hint="eastAsia"/>
                <w:sz w:val="18"/>
                <w:szCs w:val="18"/>
              </w:rPr>
              <w:t>检查内容</w:t>
            </w:r>
          </w:p>
        </w:tc>
        <w:tc>
          <w:tcPr>
            <w:tcW w:w="741" w:type="dxa"/>
            <w:tcBorders>
              <w:top w:val="single" w:sz="8"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rFonts w:eastAsia="黑体"/>
                <w:sz w:val="18"/>
                <w:szCs w:val="18"/>
              </w:rPr>
            </w:pPr>
            <w:r w:rsidRPr="00177D66">
              <w:rPr>
                <w:rFonts w:eastAsia="黑体" w:hint="eastAsia"/>
                <w:sz w:val="18"/>
                <w:szCs w:val="18"/>
              </w:rPr>
              <w:t>单项</w:t>
            </w:r>
          </w:p>
          <w:p w:rsidR="00525539" w:rsidRPr="00177D66" w:rsidRDefault="00525539" w:rsidP="006A049D">
            <w:pPr>
              <w:spacing w:line="200" w:lineRule="exact"/>
              <w:jc w:val="center"/>
              <w:rPr>
                <w:rFonts w:eastAsia="黑体"/>
                <w:sz w:val="18"/>
                <w:szCs w:val="18"/>
              </w:rPr>
            </w:pPr>
            <w:r w:rsidRPr="00177D66">
              <w:rPr>
                <w:rFonts w:eastAsia="黑体" w:hint="eastAsia"/>
                <w:sz w:val="18"/>
                <w:szCs w:val="18"/>
              </w:rPr>
              <w:t>总分</w:t>
            </w:r>
          </w:p>
        </w:tc>
        <w:tc>
          <w:tcPr>
            <w:tcW w:w="3005" w:type="dxa"/>
            <w:tcBorders>
              <w:top w:val="single" w:sz="8"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rFonts w:eastAsia="黑体"/>
                <w:sz w:val="18"/>
                <w:szCs w:val="18"/>
              </w:rPr>
            </w:pPr>
            <w:r w:rsidRPr="00177D66">
              <w:rPr>
                <w:rFonts w:eastAsia="黑体" w:hint="eastAsia"/>
                <w:sz w:val="18"/>
                <w:szCs w:val="18"/>
              </w:rPr>
              <w:t>考</w:t>
            </w:r>
            <w:bookmarkStart w:id="0" w:name="_GoBack"/>
            <w:bookmarkEnd w:id="0"/>
            <w:r w:rsidRPr="00177D66">
              <w:rPr>
                <w:rFonts w:eastAsia="黑体" w:hint="eastAsia"/>
                <w:sz w:val="18"/>
                <w:szCs w:val="18"/>
              </w:rPr>
              <w:t>核办法</w:t>
            </w:r>
          </w:p>
        </w:tc>
        <w:tc>
          <w:tcPr>
            <w:tcW w:w="783" w:type="dxa"/>
            <w:tcBorders>
              <w:top w:val="single" w:sz="8"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rFonts w:eastAsia="黑体"/>
                <w:sz w:val="18"/>
                <w:szCs w:val="18"/>
              </w:rPr>
            </w:pPr>
            <w:r w:rsidRPr="00177D66">
              <w:rPr>
                <w:rFonts w:eastAsia="黑体" w:hint="eastAsia"/>
                <w:sz w:val="18"/>
                <w:szCs w:val="18"/>
              </w:rPr>
              <w:t>评分</w:t>
            </w:r>
          </w:p>
          <w:p w:rsidR="00525539" w:rsidRPr="00177D66" w:rsidRDefault="00525539" w:rsidP="006A049D">
            <w:pPr>
              <w:spacing w:line="200" w:lineRule="exact"/>
              <w:jc w:val="center"/>
              <w:rPr>
                <w:rFonts w:eastAsia="黑体"/>
                <w:sz w:val="18"/>
                <w:szCs w:val="18"/>
              </w:rPr>
            </w:pPr>
            <w:r w:rsidRPr="00177D66">
              <w:rPr>
                <w:rFonts w:eastAsia="黑体" w:hint="eastAsia"/>
                <w:sz w:val="18"/>
                <w:szCs w:val="18"/>
              </w:rPr>
              <w:t>标准</w:t>
            </w:r>
          </w:p>
        </w:tc>
        <w:tc>
          <w:tcPr>
            <w:tcW w:w="757" w:type="dxa"/>
            <w:tcBorders>
              <w:top w:val="single" w:sz="8"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rFonts w:eastAsia="黑体"/>
                <w:sz w:val="18"/>
                <w:szCs w:val="18"/>
              </w:rPr>
            </w:pPr>
            <w:r>
              <w:rPr>
                <w:rFonts w:eastAsia="黑体" w:hint="eastAsia"/>
                <w:sz w:val="18"/>
                <w:szCs w:val="18"/>
              </w:rPr>
              <w:t>自评分</w:t>
            </w:r>
          </w:p>
        </w:tc>
        <w:tc>
          <w:tcPr>
            <w:tcW w:w="757" w:type="dxa"/>
            <w:tcBorders>
              <w:top w:val="single" w:sz="8" w:space="0" w:color="auto"/>
              <w:left w:val="single" w:sz="4" w:space="0" w:color="auto"/>
              <w:bottom w:val="single" w:sz="4" w:space="0" w:color="auto"/>
              <w:right w:val="single" w:sz="8" w:space="0" w:color="auto"/>
            </w:tcBorders>
            <w:vAlign w:val="center"/>
          </w:tcPr>
          <w:p w:rsidR="00525539" w:rsidRPr="00177D66" w:rsidRDefault="00525539" w:rsidP="006A049D">
            <w:pPr>
              <w:spacing w:line="200" w:lineRule="exact"/>
              <w:jc w:val="center"/>
              <w:rPr>
                <w:rFonts w:eastAsia="黑体"/>
                <w:sz w:val="18"/>
                <w:szCs w:val="18"/>
              </w:rPr>
            </w:pPr>
            <w:r>
              <w:rPr>
                <w:rFonts w:eastAsia="黑体" w:hint="eastAsia"/>
                <w:sz w:val="18"/>
                <w:szCs w:val="18"/>
              </w:rPr>
              <w:t>属地测评得</w:t>
            </w:r>
            <w:r w:rsidRPr="00177D66">
              <w:rPr>
                <w:rFonts w:eastAsia="黑体" w:hint="eastAsia"/>
                <w:sz w:val="18"/>
                <w:szCs w:val="18"/>
              </w:rPr>
              <w:t>分</w:t>
            </w:r>
          </w:p>
        </w:tc>
      </w:tr>
      <w:tr w:rsidR="00525539" w:rsidRPr="00177D66" w:rsidTr="006A049D">
        <w:trPr>
          <w:trHeight w:hRule="exact" w:val="454"/>
          <w:jc w:val="center"/>
        </w:trPr>
        <w:tc>
          <w:tcPr>
            <w:tcW w:w="3529" w:type="dxa"/>
            <w:vMerge w:val="restart"/>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企业遵守有关法律法规，劳动合同的签订率、履行率均为</w:t>
            </w:r>
            <w:r w:rsidRPr="00177D66">
              <w:rPr>
                <w:sz w:val="18"/>
                <w:szCs w:val="18"/>
              </w:rPr>
              <w:t>100%</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15</w:t>
            </w: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劳动合同签订率每少于</w:t>
            </w:r>
            <w:r w:rsidRPr="00177D66">
              <w:rPr>
                <w:rFonts w:hint="eastAsia"/>
                <w:sz w:val="18"/>
                <w:szCs w:val="18"/>
              </w:rPr>
              <w:t>1</w:t>
            </w:r>
            <w:r w:rsidRPr="00177D66">
              <w:rPr>
                <w:rFonts w:hint="eastAsia"/>
                <w:sz w:val="18"/>
                <w:szCs w:val="18"/>
              </w:rPr>
              <w:t>个百分点扣</w:t>
            </w:r>
            <w:r w:rsidRPr="00177D66">
              <w:rPr>
                <w:sz w:val="18"/>
                <w:szCs w:val="18"/>
              </w:rPr>
              <w:t>2</w:t>
            </w:r>
            <w:r w:rsidRPr="00177D66">
              <w:rPr>
                <w:rFonts w:hint="eastAsia"/>
                <w:sz w:val="18"/>
                <w:szCs w:val="18"/>
              </w:rPr>
              <w:t>分，并且签订率不得低于</w:t>
            </w:r>
            <w:r w:rsidRPr="00177D66">
              <w:rPr>
                <w:sz w:val="18"/>
                <w:szCs w:val="18"/>
              </w:rPr>
              <w:t>90%</w:t>
            </w:r>
            <w:r w:rsidRPr="00177D66">
              <w:rPr>
                <w:rFonts w:hint="eastAs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10</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全面履行劳动合同，发现不履行情况适当扣分。</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5</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val="restart"/>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Pr>
                <w:rFonts w:hint="eastAsia"/>
                <w:sz w:val="18"/>
                <w:szCs w:val="18"/>
              </w:rPr>
              <w:t>无拖欠职工工资；无不缴、少缴、欠缴职工社会保险费用</w:t>
            </w:r>
            <w:r w:rsidRPr="00177D66">
              <w:rPr>
                <w:rFonts w:hint="eastAsia"/>
                <w:sz w:val="18"/>
                <w:szCs w:val="18"/>
              </w:rPr>
              <w:t>等现象</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15</w:t>
            </w: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无无故拖欠职工工资情况。</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5</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遵守</w:t>
            </w:r>
            <w:r>
              <w:rPr>
                <w:rFonts w:hint="eastAsia"/>
                <w:sz w:val="18"/>
                <w:szCs w:val="18"/>
              </w:rPr>
              <w:t>延长工作时间的有关规定，按规定支付加班</w:t>
            </w:r>
            <w:r w:rsidRPr="00177D66">
              <w:rPr>
                <w:rFonts w:hint="eastAsia"/>
                <w:sz w:val="18"/>
                <w:szCs w:val="18"/>
              </w:rPr>
              <w:t>工资。</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5</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社会保险</w:t>
            </w:r>
            <w:r>
              <w:rPr>
                <w:rFonts w:hint="eastAsia"/>
                <w:sz w:val="18"/>
                <w:szCs w:val="18"/>
              </w:rPr>
              <w:t>参保率</w:t>
            </w:r>
            <w:r w:rsidRPr="00177D66">
              <w:rPr>
                <w:sz w:val="18"/>
                <w:szCs w:val="18"/>
              </w:rPr>
              <w:t>100%</w:t>
            </w:r>
            <w:r w:rsidRPr="00177D66">
              <w:rPr>
                <w:rFonts w:hint="eastAsia"/>
                <w:sz w:val="18"/>
                <w:szCs w:val="18"/>
              </w:rPr>
              <w:t>，每少</w:t>
            </w:r>
            <w:r w:rsidRPr="00177D66">
              <w:rPr>
                <w:sz w:val="18"/>
                <w:szCs w:val="18"/>
              </w:rPr>
              <w:t>1</w:t>
            </w:r>
            <w:r w:rsidRPr="00177D66">
              <w:rPr>
                <w:rFonts w:hint="eastAsia"/>
                <w:sz w:val="18"/>
                <w:szCs w:val="18"/>
              </w:rPr>
              <w:t>个百分点扣</w:t>
            </w:r>
            <w:r w:rsidRPr="00177D66">
              <w:rPr>
                <w:sz w:val="18"/>
                <w:szCs w:val="18"/>
              </w:rPr>
              <w:t>1</w:t>
            </w:r>
            <w:r w:rsidRPr="00177D66">
              <w:rPr>
                <w:rFonts w:hint="eastAsia"/>
                <w:sz w:val="18"/>
                <w:szCs w:val="18"/>
              </w:rPr>
              <w:t>分。</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5</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val="restart"/>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企业安全生产措施得力，两年内企业未发生重大安全事故</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10</w:t>
            </w: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建立健全安全生产制度和操作规程。</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5</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pacing w:val="-8"/>
                <w:sz w:val="18"/>
                <w:szCs w:val="18"/>
              </w:rPr>
            </w:pPr>
            <w:r w:rsidRPr="00177D66">
              <w:rPr>
                <w:rFonts w:hint="eastAsia"/>
                <w:spacing w:val="-8"/>
                <w:sz w:val="18"/>
                <w:szCs w:val="18"/>
              </w:rPr>
              <w:t>开展安全生产教育，有培训计划、档案。</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5</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两年内未发生重大安全事故</w:t>
            </w:r>
            <w:r>
              <w:rPr>
                <w:rFonts w:hint="eastAs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rFonts w:hint="eastAsia"/>
                <w:sz w:val="18"/>
                <w:szCs w:val="18"/>
              </w:rPr>
              <w:t>否决项</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val="restart"/>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建立健全工会组织</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10</w:t>
            </w: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工会组织健全，活动正常</w:t>
            </w:r>
            <w:r>
              <w:rPr>
                <w:rFonts w:hint="eastAs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5</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按时足额拨缴工会经费，不挪用、不侵占工会经费</w:t>
            </w:r>
            <w:r>
              <w:rPr>
                <w:rFonts w:hint="eastAs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5</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val="restart"/>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职代会制度运行情况</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20</w:t>
            </w: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pacing w:val="-8"/>
                <w:sz w:val="18"/>
                <w:szCs w:val="18"/>
              </w:rPr>
              <w:t>每年按时召开会议，认真履行各项职权</w:t>
            </w:r>
            <w:r>
              <w:rPr>
                <w:rFonts w:hint="eastAsia"/>
                <w:spacing w:val="-8"/>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6</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pacing w:val="-8"/>
                <w:sz w:val="18"/>
                <w:szCs w:val="18"/>
              </w:rPr>
              <w:t>制定规章制度或重大事项履行民主程序</w:t>
            </w:r>
            <w:r>
              <w:rPr>
                <w:rFonts w:hint="eastAsia"/>
                <w:spacing w:val="-8"/>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4</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职代会通过决议采用无记名投票方式</w:t>
            </w:r>
            <w:r>
              <w:rPr>
                <w:rFonts w:hint="eastAs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3</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向上一级工会报告工作情况</w:t>
            </w:r>
            <w:r>
              <w:rPr>
                <w:rFonts w:hint="eastAs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3</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坚持厂务公开制度</w:t>
            </w:r>
            <w:r>
              <w:rPr>
                <w:rFonts w:hint="eastAs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4</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val="restart"/>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坚持平等协商集体合同制度</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10</w:t>
            </w: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坚持平等协商制度</w:t>
            </w:r>
            <w:r>
              <w:rPr>
                <w:rFonts w:hint="eastAs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3</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签订集体合同，开展工资集体协商</w:t>
            </w:r>
            <w:r>
              <w:rPr>
                <w:rFonts w:hint="eastAs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5</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集体合同履行情况向职代会报告</w:t>
            </w:r>
            <w:r>
              <w:rPr>
                <w:rFonts w:hint="eastAs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2</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val="restart"/>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企业劳动关系协调组织健全，两年内未发生重大劳资纠纷或群体上访事件</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10</w:t>
            </w: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有劳动争议调解组织、劳动法律监督组织和劳动保护监督组织</w:t>
            </w:r>
            <w:r>
              <w:rPr>
                <w:rFonts w:hint="eastAs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5</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pacing w:val="-8"/>
                <w:sz w:val="18"/>
                <w:szCs w:val="18"/>
              </w:rPr>
              <w:t>企业败诉的劳动争议案件有</w:t>
            </w:r>
            <w:r w:rsidRPr="00177D66">
              <w:rPr>
                <w:spacing w:val="-8"/>
                <w:sz w:val="18"/>
                <w:szCs w:val="18"/>
              </w:rPr>
              <w:t>1</w:t>
            </w:r>
            <w:r w:rsidRPr="00177D66">
              <w:rPr>
                <w:rFonts w:hint="eastAsia"/>
                <w:spacing w:val="-8"/>
                <w:sz w:val="18"/>
                <w:szCs w:val="18"/>
              </w:rPr>
              <w:t>起扣</w:t>
            </w:r>
            <w:r w:rsidRPr="00177D66">
              <w:rPr>
                <w:spacing w:val="-8"/>
                <w:sz w:val="18"/>
                <w:szCs w:val="18"/>
              </w:rPr>
              <w:t>1</w:t>
            </w:r>
            <w:r w:rsidRPr="00177D66">
              <w:rPr>
                <w:rFonts w:hint="eastAsia"/>
                <w:spacing w:val="-8"/>
                <w:sz w:val="18"/>
                <w:szCs w:val="18"/>
              </w:rPr>
              <w:t>分</w:t>
            </w:r>
            <w:r>
              <w:rPr>
                <w:rFonts w:hint="eastAsia"/>
                <w:spacing w:val="-8"/>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5</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vMerge/>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widowControl/>
              <w:jc w:val="left"/>
              <w:rPr>
                <w:sz w:val="18"/>
                <w:szCs w:val="18"/>
              </w:rPr>
            </w:pP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z w:val="18"/>
                <w:szCs w:val="18"/>
              </w:rPr>
              <w:t>两年内未发生重大违法案件或因劳动关系纠纷引起的群体性上访事件</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rFonts w:hint="eastAsia"/>
                <w:sz w:val="18"/>
                <w:szCs w:val="18"/>
              </w:rPr>
              <w:t>否决项</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hRule="exact" w:val="454"/>
          <w:jc w:val="center"/>
        </w:trPr>
        <w:tc>
          <w:tcPr>
            <w:tcW w:w="3529" w:type="dxa"/>
            <w:tcBorders>
              <w:top w:val="single" w:sz="4" w:space="0" w:color="auto"/>
              <w:left w:val="single" w:sz="8" w:space="0" w:color="auto"/>
              <w:bottom w:val="single" w:sz="4" w:space="0" w:color="auto"/>
              <w:right w:val="single" w:sz="4" w:space="0" w:color="auto"/>
            </w:tcBorders>
            <w:vAlign w:val="center"/>
          </w:tcPr>
          <w:p w:rsidR="00525539" w:rsidRPr="00177D66" w:rsidRDefault="00525539" w:rsidP="006A049D">
            <w:pPr>
              <w:spacing w:line="200" w:lineRule="exact"/>
              <w:rPr>
                <w:spacing w:val="-8"/>
                <w:sz w:val="18"/>
                <w:szCs w:val="18"/>
              </w:rPr>
            </w:pPr>
            <w:r w:rsidRPr="00177D66">
              <w:rPr>
                <w:rFonts w:hint="eastAsia"/>
                <w:spacing w:val="-8"/>
                <w:sz w:val="18"/>
                <w:szCs w:val="18"/>
              </w:rPr>
              <w:t>职工对劳动关系和谐状况比较满意</w:t>
            </w:r>
          </w:p>
        </w:tc>
        <w:tc>
          <w:tcPr>
            <w:tcW w:w="741"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10</w:t>
            </w:r>
          </w:p>
        </w:tc>
        <w:tc>
          <w:tcPr>
            <w:tcW w:w="3005"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rPr>
                <w:sz w:val="18"/>
                <w:szCs w:val="18"/>
              </w:rPr>
            </w:pPr>
            <w:r w:rsidRPr="00177D66">
              <w:rPr>
                <w:rFonts w:hint="eastAsia"/>
                <w:spacing w:val="-8"/>
                <w:sz w:val="18"/>
                <w:szCs w:val="18"/>
              </w:rPr>
              <w:t>经职代会测评，职工满意度达</w:t>
            </w:r>
            <w:r w:rsidRPr="00177D66">
              <w:rPr>
                <w:spacing w:val="-8"/>
                <w:sz w:val="18"/>
                <w:szCs w:val="18"/>
              </w:rPr>
              <w:t>80%</w:t>
            </w:r>
            <w:r w:rsidRPr="00177D66">
              <w:rPr>
                <w:rFonts w:hint="eastAsia"/>
                <w:spacing w:val="-8"/>
                <w:sz w:val="18"/>
                <w:szCs w:val="18"/>
              </w:rPr>
              <w:t>以上</w:t>
            </w:r>
          </w:p>
        </w:tc>
        <w:tc>
          <w:tcPr>
            <w:tcW w:w="783" w:type="dxa"/>
            <w:tcBorders>
              <w:top w:val="single" w:sz="4" w:space="0" w:color="auto"/>
              <w:left w:val="single" w:sz="4" w:space="0" w:color="auto"/>
              <w:bottom w:val="single" w:sz="4"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10</w:t>
            </w:r>
          </w:p>
        </w:tc>
        <w:tc>
          <w:tcPr>
            <w:tcW w:w="757" w:type="dxa"/>
            <w:tcBorders>
              <w:top w:val="single" w:sz="4" w:space="0" w:color="auto"/>
              <w:left w:val="single" w:sz="4" w:space="0" w:color="auto"/>
              <w:bottom w:val="single" w:sz="4" w:space="0" w:color="auto"/>
              <w:right w:val="single" w:sz="4"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4" w:space="0" w:color="auto"/>
              <w:right w:val="single" w:sz="8" w:space="0" w:color="auto"/>
            </w:tcBorders>
          </w:tcPr>
          <w:p w:rsidR="00525539" w:rsidRPr="00177D66" w:rsidRDefault="00525539" w:rsidP="006A049D">
            <w:pPr>
              <w:spacing w:line="200" w:lineRule="exact"/>
              <w:rPr>
                <w:sz w:val="18"/>
                <w:szCs w:val="18"/>
              </w:rPr>
            </w:pPr>
          </w:p>
        </w:tc>
      </w:tr>
      <w:tr w:rsidR="00525539" w:rsidRPr="00177D66" w:rsidTr="006A049D">
        <w:trPr>
          <w:trHeight w:val="340"/>
          <w:jc w:val="center"/>
        </w:trPr>
        <w:tc>
          <w:tcPr>
            <w:tcW w:w="3529" w:type="dxa"/>
            <w:tcBorders>
              <w:top w:val="single" w:sz="4" w:space="0" w:color="auto"/>
              <w:left w:val="single" w:sz="8" w:space="0" w:color="auto"/>
              <w:bottom w:val="single" w:sz="8"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rFonts w:hint="eastAsia"/>
                <w:sz w:val="18"/>
                <w:szCs w:val="18"/>
              </w:rPr>
              <w:t>总分</w:t>
            </w:r>
          </w:p>
        </w:tc>
        <w:tc>
          <w:tcPr>
            <w:tcW w:w="4529" w:type="dxa"/>
            <w:gridSpan w:val="3"/>
            <w:tcBorders>
              <w:top w:val="single" w:sz="4" w:space="0" w:color="auto"/>
              <w:left w:val="single" w:sz="4" w:space="0" w:color="auto"/>
              <w:bottom w:val="single" w:sz="8" w:space="0" w:color="auto"/>
              <w:right w:val="single" w:sz="4" w:space="0" w:color="auto"/>
            </w:tcBorders>
            <w:vAlign w:val="center"/>
          </w:tcPr>
          <w:p w:rsidR="00525539" w:rsidRPr="00177D66" w:rsidRDefault="00525539" w:rsidP="006A049D">
            <w:pPr>
              <w:spacing w:line="200" w:lineRule="exact"/>
              <w:jc w:val="center"/>
              <w:rPr>
                <w:sz w:val="18"/>
                <w:szCs w:val="18"/>
              </w:rPr>
            </w:pPr>
            <w:r w:rsidRPr="00177D66">
              <w:rPr>
                <w:sz w:val="18"/>
                <w:szCs w:val="18"/>
              </w:rPr>
              <w:t>100</w:t>
            </w:r>
          </w:p>
        </w:tc>
        <w:tc>
          <w:tcPr>
            <w:tcW w:w="757" w:type="dxa"/>
            <w:tcBorders>
              <w:top w:val="single" w:sz="4" w:space="0" w:color="auto"/>
              <w:left w:val="single" w:sz="4" w:space="0" w:color="auto"/>
              <w:bottom w:val="single" w:sz="8" w:space="0" w:color="auto"/>
              <w:right w:val="single" w:sz="8" w:space="0" w:color="auto"/>
            </w:tcBorders>
          </w:tcPr>
          <w:p w:rsidR="00525539" w:rsidRPr="00177D66" w:rsidRDefault="00525539" w:rsidP="006A049D">
            <w:pPr>
              <w:spacing w:line="200" w:lineRule="exact"/>
              <w:rPr>
                <w:sz w:val="18"/>
                <w:szCs w:val="18"/>
              </w:rPr>
            </w:pPr>
          </w:p>
        </w:tc>
        <w:tc>
          <w:tcPr>
            <w:tcW w:w="757" w:type="dxa"/>
            <w:tcBorders>
              <w:top w:val="single" w:sz="4" w:space="0" w:color="auto"/>
              <w:left w:val="single" w:sz="4" w:space="0" w:color="auto"/>
              <w:bottom w:val="single" w:sz="8" w:space="0" w:color="auto"/>
              <w:right w:val="single" w:sz="8" w:space="0" w:color="auto"/>
            </w:tcBorders>
          </w:tcPr>
          <w:p w:rsidR="00525539" w:rsidRPr="00177D66" w:rsidRDefault="00525539" w:rsidP="006A049D">
            <w:pPr>
              <w:spacing w:line="200" w:lineRule="exact"/>
              <w:rPr>
                <w:sz w:val="18"/>
                <w:szCs w:val="18"/>
              </w:rPr>
            </w:pPr>
          </w:p>
        </w:tc>
      </w:tr>
    </w:tbl>
    <w:p w:rsidR="00525539" w:rsidRDefault="00525539" w:rsidP="00525539">
      <w:pPr>
        <w:spacing w:line="400" w:lineRule="exact"/>
        <w:rPr>
          <w:rFonts w:ascii="仿宋_GB2312" w:eastAsia="仿宋_GB2312"/>
          <w:sz w:val="30"/>
          <w:szCs w:val="30"/>
        </w:rPr>
      </w:pPr>
    </w:p>
    <w:p w:rsidR="00525539" w:rsidRDefault="00525539" w:rsidP="00525539">
      <w:pPr>
        <w:spacing w:line="400" w:lineRule="exact"/>
        <w:rPr>
          <w:rFonts w:ascii="仿宋_GB2312" w:eastAsia="仿宋_GB2312"/>
          <w:sz w:val="30"/>
          <w:szCs w:val="30"/>
        </w:rPr>
      </w:pPr>
    </w:p>
    <w:p w:rsidR="00EF42F4" w:rsidRDefault="00EF42F4"/>
    <w:sectPr w:rsidR="00EF42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7A3" w:rsidRDefault="00E857A3" w:rsidP="00525539">
      <w:r>
        <w:separator/>
      </w:r>
    </w:p>
  </w:endnote>
  <w:endnote w:type="continuationSeparator" w:id="0">
    <w:p w:rsidR="00E857A3" w:rsidRDefault="00E857A3" w:rsidP="0052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7A3" w:rsidRDefault="00E857A3" w:rsidP="00525539">
      <w:r>
        <w:separator/>
      </w:r>
    </w:p>
  </w:footnote>
  <w:footnote w:type="continuationSeparator" w:id="0">
    <w:p w:rsidR="00E857A3" w:rsidRDefault="00E857A3" w:rsidP="00525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5539"/>
    <w:rsid w:val="00525539"/>
    <w:rsid w:val="00E857A3"/>
    <w:rsid w:val="00EF42F4"/>
    <w:rsid w:val="00F30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305FA"/>
  <w15:docId w15:val="{DB9518D1-5C82-466E-B3EC-6C837134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55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5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25539"/>
    <w:rPr>
      <w:sz w:val="18"/>
      <w:szCs w:val="18"/>
    </w:rPr>
  </w:style>
  <w:style w:type="paragraph" w:styleId="a5">
    <w:name w:val="footer"/>
    <w:basedOn w:val="a"/>
    <w:link w:val="a6"/>
    <w:uiPriority w:val="99"/>
    <w:unhideWhenUsed/>
    <w:rsid w:val="005255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255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MYPC</cp:lastModifiedBy>
  <cp:revision>3</cp:revision>
  <dcterms:created xsi:type="dcterms:W3CDTF">2021-04-13T07:10:00Z</dcterms:created>
  <dcterms:modified xsi:type="dcterms:W3CDTF">2022-07-08T02:13:00Z</dcterms:modified>
</cp:coreProperties>
</file>