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常熟市上市公司高质量发展三年行动计划</w:t>
      </w:r>
    </w:p>
    <w:p>
      <w:pPr>
        <w:overflowPunct w:val="0"/>
        <w:adjustRightInd w:val="0"/>
        <w:snapToGrid w:val="0"/>
        <w:spacing w:line="580" w:lineRule="exact"/>
        <w:jc w:val="center"/>
        <w:rPr>
          <w:rFonts w:eastAsia="方正小标宋简体"/>
          <w:bCs/>
          <w:snapToGrid w:val="0"/>
          <w:kern w:val="0"/>
          <w:sz w:val="44"/>
          <w:szCs w:val="32"/>
        </w:rPr>
      </w:pPr>
      <w:r>
        <w:rPr>
          <w:rFonts w:hint="eastAsia" w:eastAsia="方正小标宋简体"/>
          <w:bCs/>
          <w:snapToGrid w:val="0"/>
          <w:kern w:val="0"/>
          <w:sz w:val="44"/>
          <w:szCs w:val="32"/>
        </w:rPr>
        <w:t>奖励实施细则</w:t>
      </w:r>
    </w:p>
    <w:p>
      <w:pPr>
        <w:spacing w:line="560" w:lineRule="exact"/>
        <w:jc w:val="center"/>
        <w:rPr>
          <w:rFonts w:hint="eastAsia" w:ascii="楷体_GB2312" w:hAnsi="楷体_GB2312" w:eastAsia="楷体_GB2312" w:cs="楷体_GB2312"/>
          <w:szCs w:val="32"/>
        </w:rPr>
      </w:pPr>
      <w:r>
        <w:rPr>
          <w:rFonts w:hint="eastAsia" w:ascii="楷体_GB2312" w:hAnsi="楷体_GB2312" w:eastAsia="楷体_GB2312" w:cs="楷体_GB2312"/>
          <w:szCs w:val="32"/>
        </w:rPr>
        <w:t>（征求意见稿）</w:t>
      </w:r>
    </w:p>
    <w:p>
      <w:pPr>
        <w:overflowPunct w:val="0"/>
        <w:topLinePunct/>
        <w:autoSpaceDE w:val="0"/>
        <w:autoSpaceDN w:val="0"/>
        <w:adjustRightInd w:val="0"/>
        <w:snapToGrid w:val="0"/>
        <w:spacing w:line="580" w:lineRule="exact"/>
        <w:rPr>
          <w:rFonts w:eastAsia="黑体"/>
          <w:snapToGrid w:val="0"/>
          <w:kern w:val="0"/>
          <w:szCs w:val="32"/>
        </w:rPr>
      </w:pP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黑体"/>
          <w:snapToGrid w:val="0"/>
          <w:kern w:val="0"/>
          <w:szCs w:val="32"/>
        </w:rPr>
        <w:t xml:space="preserve">第一条  </w:t>
      </w:r>
      <w:r>
        <w:rPr>
          <w:rFonts w:hint="eastAsia" w:eastAsia="仿宋_GB2312"/>
          <w:snapToGrid w:val="0"/>
          <w:kern w:val="0"/>
          <w:szCs w:val="32"/>
        </w:rPr>
        <w:t>根据</w:t>
      </w:r>
      <w:r>
        <w:rPr>
          <w:rFonts w:hint="eastAsia" w:ascii="仿宋_GB2312" w:eastAsia="仿宋_GB2312"/>
          <w:szCs w:val="32"/>
        </w:rPr>
        <w:t>《省政府关于进一步提高上市公司质量的实施意见》（苏政发〔2020〕102号）、《市政府关于进一步提高上市公司质量的实施意见》（苏府〔2021〕32号）、《苏州市促进企业利用资本市场实现高质量发展的实施意见》（苏府〔2020〕28号）等文件</w:t>
      </w:r>
      <w:r>
        <w:rPr>
          <w:rFonts w:hint="eastAsia" w:eastAsia="仿宋_GB2312"/>
          <w:snapToGrid w:val="0"/>
          <w:kern w:val="0"/>
          <w:szCs w:val="32"/>
        </w:rPr>
        <w:t>要求，支持企业利用境内外资本市场做强做优，对上市挂牌企业给予政策奖励。为规范该项工作，特制定本细则。</w:t>
      </w:r>
    </w:p>
    <w:p>
      <w:pPr>
        <w:overflowPunct w:val="0"/>
        <w:topLinePunct/>
        <w:autoSpaceDE w:val="0"/>
        <w:autoSpaceDN w:val="0"/>
        <w:adjustRightInd w:val="0"/>
        <w:snapToGrid w:val="0"/>
        <w:spacing w:line="580" w:lineRule="exact"/>
        <w:ind w:firstLine="624" w:firstLineChars="200"/>
        <w:rPr>
          <w:rFonts w:ascii="仿宋_GB2312" w:eastAsia="仿宋_GB2312"/>
          <w:szCs w:val="32"/>
        </w:rPr>
      </w:pPr>
      <w:r>
        <w:rPr>
          <w:rFonts w:hint="eastAsia" w:eastAsia="黑体"/>
          <w:snapToGrid w:val="0"/>
          <w:kern w:val="0"/>
          <w:szCs w:val="32"/>
        </w:rPr>
        <w:t xml:space="preserve">第二条  </w:t>
      </w:r>
      <w:r>
        <w:rPr>
          <w:rFonts w:hint="eastAsia" w:eastAsia="仿宋_GB2312"/>
          <w:snapToGrid w:val="0"/>
          <w:kern w:val="0"/>
          <w:szCs w:val="32"/>
        </w:rPr>
        <w:t>企业股改成功，</w:t>
      </w:r>
      <w:r>
        <w:rPr>
          <w:rFonts w:hint="eastAsia" w:ascii="仿宋_GB2312" w:eastAsia="仿宋_GB2312"/>
          <w:szCs w:val="32"/>
        </w:rPr>
        <w:t>按因实施股改而当年新增的地方经济社会发展贡献给予各镇（板块）不超50%的奖励，由各镇（板块）用于股改企业的培育。</w:t>
      </w:r>
    </w:p>
    <w:p>
      <w:pPr>
        <w:spacing w:line="560" w:lineRule="exact"/>
        <w:ind w:firstLine="624" w:firstLineChars="200"/>
        <w:jc w:val="left"/>
        <w:rPr>
          <w:rFonts w:ascii="仿宋_GB2312" w:eastAsia="仿宋_GB2312"/>
          <w:szCs w:val="32"/>
        </w:rPr>
      </w:pPr>
      <w:r>
        <w:rPr>
          <w:rFonts w:hint="eastAsia" w:eastAsia="黑体"/>
          <w:snapToGrid w:val="0"/>
          <w:kern w:val="0"/>
          <w:szCs w:val="32"/>
        </w:rPr>
        <w:t xml:space="preserve">第三条  </w:t>
      </w:r>
      <w:r>
        <w:rPr>
          <w:rFonts w:hint="eastAsia" w:ascii="仿宋_GB2312" w:eastAsia="仿宋_GB2312"/>
          <w:szCs w:val="32"/>
        </w:rPr>
        <w:t>成功上市挂牌奖励明确如下：</w:t>
      </w:r>
    </w:p>
    <w:p>
      <w:pPr>
        <w:spacing w:line="560" w:lineRule="exact"/>
        <w:ind w:firstLine="624" w:firstLineChars="200"/>
        <w:jc w:val="left"/>
        <w:rPr>
          <w:rFonts w:ascii="仿宋_GB2312" w:eastAsia="仿宋_GB2312"/>
          <w:szCs w:val="32"/>
        </w:rPr>
      </w:pPr>
      <w:r>
        <w:rPr>
          <w:rFonts w:hint="eastAsia" w:ascii="仿宋_GB2312" w:eastAsia="仿宋_GB2312"/>
          <w:szCs w:val="32"/>
        </w:rPr>
        <w:t>（一）拟上市企业首发申请获中国证监会（含境内证券交易所）正式受理的，给予</w:t>
      </w:r>
      <w:r>
        <w:rPr>
          <w:rFonts w:ascii="仿宋_GB2312" w:eastAsia="仿宋_GB2312"/>
          <w:szCs w:val="32"/>
        </w:rPr>
        <w:t>150</w:t>
      </w:r>
      <w:r>
        <w:rPr>
          <w:rFonts w:hint="eastAsia" w:ascii="仿宋_GB2312" w:eastAsia="仿宋_GB2312"/>
          <w:szCs w:val="32"/>
        </w:rPr>
        <w:t>万元补贴，成功发行后再给予3</w:t>
      </w:r>
      <w:r>
        <w:rPr>
          <w:rFonts w:ascii="仿宋_GB2312" w:eastAsia="仿宋_GB2312"/>
          <w:szCs w:val="32"/>
        </w:rPr>
        <w:t>50</w:t>
      </w:r>
      <w:r>
        <w:rPr>
          <w:rFonts w:hint="eastAsia" w:ascii="仿宋_GB2312" w:eastAsia="仿宋_GB2312"/>
          <w:szCs w:val="32"/>
        </w:rPr>
        <w:t>万元补贴。</w:t>
      </w:r>
    </w:p>
    <w:p>
      <w:pPr>
        <w:spacing w:line="560" w:lineRule="exact"/>
        <w:ind w:firstLine="624" w:firstLineChars="200"/>
        <w:jc w:val="left"/>
        <w:rPr>
          <w:rFonts w:ascii="仿宋_GB2312" w:eastAsia="仿宋_GB2312"/>
          <w:szCs w:val="32"/>
        </w:rPr>
      </w:pPr>
      <w:r>
        <w:rPr>
          <w:rFonts w:hint="eastAsia" w:ascii="仿宋_GB2312" w:eastAsia="仿宋_GB2312"/>
          <w:szCs w:val="32"/>
        </w:rPr>
        <w:t>（二）拟上市企业在境外主要证券交易所成功上市，募集资金投入我市项目建设高于8</w:t>
      </w:r>
      <w:r>
        <w:rPr>
          <w:rFonts w:ascii="仿宋_GB2312" w:eastAsia="仿宋_GB2312"/>
          <w:szCs w:val="32"/>
        </w:rPr>
        <w:t>0</w:t>
      </w:r>
      <w:r>
        <w:rPr>
          <w:rFonts w:hint="eastAsia" w:ascii="仿宋_GB2312" w:eastAsia="仿宋_GB2312"/>
          <w:szCs w:val="32"/>
        </w:rPr>
        <w:t>%（含）的，给予</w:t>
      </w:r>
      <w:r>
        <w:rPr>
          <w:rFonts w:ascii="仿宋_GB2312" w:eastAsia="仿宋_GB2312"/>
          <w:szCs w:val="32"/>
        </w:rPr>
        <w:t>300</w:t>
      </w:r>
      <w:r>
        <w:rPr>
          <w:rFonts w:hint="eastAsia" w:ascii="仿宋_GB2312" w:eastAsia="仿宋_GB2312"/>
          <w:szCs w:val="32"/>
        </w:rPr>
        <w:t>万元补贴；低于8</w:t>
      </w:r>
      <w:r>
        <w:rPr>
          <w:rFonts w:ascii="仿宋_GB2312" w:eastAsia="仿宋_GB2312"/>
          <w:szCs w:val="32"/>
        </w:rPr>
        <w:t>0</w:t>
      </w:r>
      <w:r>
        <w:rPr>
          <w:rFonts w:hint="eastAsia" w:ascii="仿宋_GB2312" w:eastAsia="仿宋_GB2312"/>
          <w:szCs w:val="32"/>
        </w:rPr>
        <w:t>%的，给予</w:t>
      </w:r>
      <w:r>
        <w:rPr>
          <w:rFonts w:ascii="仿宋_GB2312" w:eastAsia="仿宋_GB2312"/>
          <w:szCs w:val="32"/>
        </w:rPr>
        <w:t>200</w:t>
      </w:r>
      <w:r>
        <w:rPr>
          <w:rFonts w:hint="eastAsia" w:ascii="仿宋_GB2312" w:eastAsia="仿宋_GB2312"/>
          <w:szCs w:val="32"/>
        </w:rPr>
        <w:t>万元补贴。</w:t>
      </w:r>
    </w:p>
    <w:p>
      <w:pPr>
        <w:spacing w:line="560" w:lineRule="exact"/>
        <w:ind w:firstLine="624" w:firstLineChars="200"/>
        <w:jc w:val="left"/>
        <w:rPr>
          <w:rFonts w:ascii="仿宋_GB2312" w:eastAsia="仿宋_GB2312"/>
          <w:szCs w:val="32"/>
        </w:rPr>
      </w:pPr>
      <w:r>
        <w:rPr>
          <w:rFonts w:hint="eastAsia" w:ascii="仿宋_GB2312" w:eastAsia="仿宋_GB2312"/>
          <w:szCs w:val="32"/>
        </w:rPr>
        <w:t>（三）拟挂牌企业在“新三板”成功挂牌，给予1</w:t>
      </w:r>
      <w:r>
        <w:rPr>
          <w:rFonts w:ascii="仿宋_GB2312" w:eastAsia="仿宋_GB2312"/>
          <w:szCs w:val="32"/>
        </w:rPr>
        <w:t>50</w:t>
      </w:r>
      <w:r>
        <w:rPr>
          <w:rFonts w:hint="eastAsia" w:ascii="仿宋_GB2312" w:eastAsia="仿宋_GB2312"/>
          <w:szCs w:val="32"/>
        </w:rPr>
        <w:t>万元补贴。挂牌企业以IPO方式实现转板，再给予350万元补贴。</w:t>
      </w:r>
    </w:p>
    <w:p>
      <w:pPr>
        <w:spacing w:line="560" w:lineRule="exact"/>
        <w:ind w:firstLine="624" w:firstLineChars="200"/>
        <w:jc w:val="left"/>
        <w:rPr>
          <w:rFonts w:ascii="仿宋_GB2312" w:eastAsia="仿宋_GB2312"/>
          <w:szCs w:val="32"/>
        </w:rPr>
      </w:pPr>
      <w:r>
        <w:rPr>
          <w:rFonts w:hint="eastAsia" w:eastAsia="黑体"/>
          <w:snapToGrid w:val="0"/>
          <w:kern w:val="0"/>
          <w:szCs w:val="32"/>
        </w:rPr>
        <w:t xml:space="preserve">第四条  </w:t>
      </w:r>
      <w:r>
        <w:rPr>
          <w:rFonts w:hint="eastAsia" w:ascii="仿宋_GB2312" w:eastAsia="仿宋_GB2312"/>
          <w:szCs w:val="32"/>
        </w:rPr>
        <w:t>异地迁入上市主体奖励明确如下：</w:t>
      </w:r>
    </w:p>
    <w:p>
      <w:pPr>
        <w:spacing w:line="560" w:lineRule="exact"/>
        <w:ind w:firstLine="624" w:firstLineChars="200"/>
        <w:jc w:val="left"/>
        <w:rPr>
          <w:rFonts w:ascii="仿宋_GB2312" w:eastAsia="仿宋_GB2312"/>
          <w:szCs w:val="32"/>
        </w:rPr>
      </w:pPr>
      <w:r>
        <w:rPr>
          <w:rFonts w:hint="eastAsia" w:ascii="仿宋_GB2312" w:eastAsia="仿宋_GB2312"/>
          <w:szCs w:val="32"/>
        </w:rPr>
        <w:t>（一）本市企业收购、控股异地上市公司，并将异地上市公司注册地迁至本市的，给予300万元补贴。</w:t>
      </w:r>
    </w:p>
    <w:p>
      <w:pPr>
        <w:spacing w:line="560" w:lineRule="exact"/>
        <w:ind w:firstLine="624" w:firstLineChars="200"/>
        <w:jc w:val="left"/>
        <w:rPr>
          <w:rFonts w:ascii="仿宋_GB2312" w:eastAsia="仿宋_GB2312"/>
          <w:szCs w:val="32"/>
        </w:rPr>
      </w:pPr>
      <w:r>
        <w:rPr>
          <w:rFonts w:hint="eastAsia" w:ascii="仿宋_GB2312" w:eastAsia="仿宋_GB2312"/>
          <w:szCs w:val="32"/>
        </w:rPr>
        <w:t>（二）本市企业收购、控股异地新三板公司，并将异地新三板公司注册地迁移至本市的，按该新三板公司当年或第一个完整年度对常熟地方经济社会发展贡献的30%给予各镇（板块）奖励，由各镇（板块）用于新三板公司的培育。</w:t>
      </w:r>
    </w:p>
    <w:p>
      <w:pPr>
        <w:spacing w:line="560" w:lineRule="exact"/>
        <w:ind w:firstLine="624" w:firstLineChars="200"/>
        <w:jc w:val="left"/>
        <w:rPr>
          <w:rFonts w:ascii="仿宋_GB2312" w:eastAsia="仿宋_GB2312"/>
          <w:szCs w:val="32"/>
        </w:rPr>
      </w:pPr>
      <w:r>
        <w:rPr>
          <w:rFonts w:hint="eastAsia" w:eastAsia="黑体"/>
          <w:snapToGrid w:val="0"/>
          <w:kern w:val="0"/>
          <w:szCs w:val="32"/>
        </w:rPr>
        <w:t xml:space="preserve">第五条  </w:t>
      </w:r>
      <w:r>
        <w:rPr>
          <w:rFonts w:hint="eastAsia" w:ascii="仿宋_GB2312" w:eastAsia="仿宋_GB2312"/>
          <w:szCs w:val="32"/>
        </w:rPr>
        <w:t>企业成功上市后，</w:t>
      </w:r>
      <w:r>
        <w:rPr>
          <w:rFonts w:hint="eastAsia" w:ascii="仿宋_GB2312" w:hAnsi="等线" w:eastAsia="仿宋_GB2312" w:cs="MS UI Gothic"/>
          <w:szCs w:val="32"/>
        </w:rPr>
        <w:t>以上市公司20</w:t>
      </w:r>
      <w:r>
        <w:rPr>
          <w:rFonts w:ascii="仿宋_GB2312" w:hAnsi="等线" w:eastAsia="仿宋_GB2312" w:cs="MS UI Gothic"/>
          <w:szCs w:val="32"/>
        </w:rPr>
        <w:t>20</w:t>
      </w:r>
      <w:r>
        <w:rPr>
          <w:rFonts w:hint="eastAsia" w:ascii="仿宋_GB2312" w:hAnsi="等线" w:eastAsia="仿宋_GB2312" w:cs="MS UI Gothic"/>
          <w:szCs w:val="32"/>
        </w:rPr>
        <w:t>年对常熟地方经济社会发展贡献为基数，至202</w:t>
      </w:r>
      <w:r>
        <w:rPr>
          <w:rFonts w:ascii="仿宋_GB2312" w:hAnsi="等线" w:eastAsia="仿宋_GB2312" w:cs="MS UI Gothic"/>
          <w:szCs w:val="32"/>
        </w:rPr>
        <w:t>3</w:t>
      </w:r>
      <w:r>
        <w:rPr>
          <w:rFonts w:hint="eastAsia" w:ascii="仿宋_GB2312" w:hAnsi="等线" w:eastAsia="仿宋_GB2312" w:cs="MS UI Gothic"/>
          <w:szCs w:val="32"/>
        </w:rPr>
        <w:t>年增幅超过50%，且当年对常熟地方经济社会发展贡献达到2500万元以上的，给予各镇（板块）三年累计增量部分的20%作为奖励；至202</w:t>
      </w:r>
      <w:r>
        <w:rPr>
          <w:rFonts w:ascii="仿宋_GB2312" w:hAnsi="等线" w:eastAsia="仿宋_GB2312" w:cs="MS UI Gothic"/>
          <w:szCs w:val="32"/>
        </w:rPr>
        <w:t>3</w:t>
      </w:r>
      <w:r>
        <w:rPr>
          <w:rFonts w:hint="eastAsia" w:ascii="仿宋_GB2312" w:hAnsi="等线" w:eastAsia="仿宋_GB2312" w:cs="MS UI Gothic"/>
          <w:szCs w:val="32"/>
        </w:rPr>
        <w:t>年增幅超过100%，且当年对常熟地方经济社会发展贡献达到5000万元以上的，给予各镇（板块）三年累计增量部分的30%作为奖励。相关奖励</w:t>
      </w:r>
      <w:r>
        <w:rPr>
          <w:rFonts w:hint="eastAsia" w:ascii="仿宋_GB2312" w:hAnsi="仿宋" w:eastAsia="仿宋_GB2312"/>
          <w:szCs w:val="32"/>
        </w:rPr>
        <w:t>由各镇（板块）用于上市公司的培育</w:t>
      </w:r>
      <w:r>
        <w:rPr>
          <w:rFonts w:hint="eastAsia" w:ascii="仿宋_GB2312" w:hAnsi="等线" w:eastAsia="仿宋_GB2312" w:cs="MS UI Gothic"/>
          <w:szCs w:val="32"/>
        </w:rPr>
        <w:t>。</w:t>
      </w:r>
    </w:p>
    <w:p>
      <w:pPr>
        <w:spacing w:line="560" w:lineRule="exact"/>
        <w:ind w:firstLine="624" w:firstLineChars="200"/>
        <w:jc w:val="left"/>
        <w:rPr>
          <w:rFonts w:ascii="仿宋_GB2312" w:eastAsia="仿宋_GB2312"/>
          <w:szCs w:val="32"/>
        </w:rPr>
      </w:pPr>
      <w:r>
        <w:rPr>
          <w:rFonts w:hint="eastAsia" w:eastAsia="黑体"/>
          <w:snapToGrid w:val="0"/>
          <w:kern w:val="0"/>
          <w:szCs w:val="32"/>
        </w:rPr>
        <w:t xml:space="preserve">第六条  </w:t>
      </w:r>
      <w:r>
        <w:rPr>
          <w:rFonts w:hint="eastAsia" w:ascii="仿宋_GB2312" w:eastAsia="仿宋_GB2312"/>
          <w:szCs w:val="32"/>
        </w:rPr>
        <w:t>对上市公司高级管理人员及特殊人才在职称评定、户籍迁移、人事关系办理、子女就学、住房安置等方面给予支持。</w:t>
      </w:r>
    </w:p>
    <w:p>
      <w:pPr>
        <w:spacing w:line="560" w:lineRule="exact"/>
        <w:ind w:firstLine="624" w:firstLineChars="200"/>
        <w:jc w:val="left"/>
        <w:rPr>
          <w:rFonts w:ascii="仿宋_GB2312" w:eastAsia="仿宋_GB2312"/>
          <w:szCs w:val="32"/>
        </w:rPr>
      </w:pPr>
      <w:r>
        <w:rPr>
          <w:rFonts w:hint="eastAsia" w:eastAsia="黑体"/>
          <w:snapToGrid w:val="0"/>
          <w:kern w:val="0"/>
          <w:szCs w:val="32"/>
        </w:rPr>
        <w:t xml:space="preserve">第七条  </w:t>
      </w:r>
      <w:r>
        <w:rPr>
          <w:rFonts w:hint="eastAsia" w:ascii="仿宋_GB2312" w:eastAsia="仿宋_GB2312"/>
          <w:szCs w:val="32"/>
        </w:rPr>
        <w:t>对于上市公司重大再投资项目采取“一企一策、一事一议”办法的具体政策另行商定。</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黑体"/>
          <w:snapToGrid w:val="0"/>
          <w:kern w:val="0"/>
          <w:szCs w:val="32"/>
        </w:rPr>
        <w:t xml:space="preserve">第八条  </w:t>
      </w:r>
      <w:r>
        <w:rPr>
          <w:rFonts w:hint="eastAsia" w:eastAsia="仿宋_GB2312"/>
          <w:snapToGrid w:val="0"/>
          <w:kern w:val="0"/>
          <w:szCs w:val="32"/>
        </w:rPr>
        <w:t>企业上市挂牌奖励的主要申报流程如下：</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仿宋_GB2312"/>
          <w:snapToGrid w:val="0"/>
          <w:kern w:val="0"/>
          <w:szCs w:val="32"/>
        </w:rPr>
        <w:t>（一）拟上市（挂牌）企业认定。拟上市（挂牌）公司符合相关条件后，报市地方金融监管局备案，经确认后取得拟上市（挂牌）企业认定书，并同时完成苏州市上市后备企业数据库入库工作。</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仿宋_GB2312"/>
          <w:snapToGrid w:val="0"/>
          <w:kern w:val="0"/>
          <w:szCs w:val="32"/>
        </w:rPr>
        <w:t>（二）集中申报。根据新增奖励对象数，市地方金融监管局每年组织一次集中申报，企业按通知提交申请书。</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仿宋_GB2312"/>
          <w:snapToGrid w:val="0"/>
          <w:kern w:val="0"/>
          <w:szCs w:val="32"/>
        </w:rPr>
        <w:t>（三）组织审核。市地方金融监管局对材料进行初审，会同市财政局审核材料后出具审核意见。</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仿宋_GB2312"/>
          <w:snapToGrid w:val="0"/>
          <w:kern w:val="0"/>
          <w:szCs w:val="32"/>
        </w:rPr>
        <w:t>（四）资金拨付。审核通过后由市财政局下发拨付通知，由各板块财政拨付企业。</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黑体"/>
          <w:snapToGrid w:val="0"/>
          <w:kern w:val="0"/>
          <w:szCs w:val="32"/>
        </w:rPr>
        <w:t xml:space="preserve">第九条  </w:t>
      </w:r>
      <w:r>
        <w:rPr>
          <w:rFonts w:hint="eastAsia" w:eastAsia="仿宋_GB2312"/>
          <w:snapToGrid w:val="0"/>
          <w:kern w:val="0"/>
          <w:szCs w:val="32"/>
        </w:rPr>
        <w:t>企业申请上述奖励需提交的材料如下：</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仿宋_GB2312"/>
          <w:snapToGrid w:val="0"/>
          <w:kern w:val="0"/>
          <w:szCs w:val="32"/>
        </w:rPr>
        <w:t>（一）常熟市企业上市挂牌奖励申请表；</w:t>
      </w:r>
      <w:r>
        <w:rPr>
          <w:rFonts w:eastAsia="仿宋_GB2312"/>
          <w:snapToGrid w:val="0"/>
          <w:kern w:val="0"/>
          <w:szCs w:val="32"/>
        </w:rPr>
        <w:t xml:space="preserve"> </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仿宋_GB2312"/>
          <w:snapToGrid w:val="0"/>
          <w:kern w:val="0"/>
          <w:szCs w:val="32"/>
        </w:rPr>
        <w:t>（二）营业执照复印件；</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仿宋_GB2312"/>
          <w:snapToGrid w:val="0"/>
          <w:kern w:val="0"/>
          <w:szCs w:val="32"/>
        </w:rPr>
        <w:t>（三）同意企业IPO的通知书（函）等证明材料；</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仿宋_GB2312"/>
          <w:snapToGrid w:val="0"/>
          <w:kern w:val="0"/>
          <w:szCs w:val="32"/>
        </w:rPr>
        <w:t>（四）常熟市拟上市（挂牌）企业认定书复印件；</w:t>
      </w:r>
    </w:p>
    <w:p>
      <w:pPr>
        <w:overflowPunct w:val="0"/>
        <w:topLinePunct/>
        <w:autoSpaceDE w:val="0"/>
        <w:autoSpaceDN w:val="0"/>
        <w:adjustRightInd w:val="0"/>
        <w:snapToGrid w:val="0"/>
        <w:spacing w:line="580" w:lineRule="exact"/>
        <w:ind w:firstLine="624" w:firstLineChars="200"/>
        <w:rPr>
          <w:rFonts w:eastAsia="仿宋_GB2312"/>
          <w:szCs w:val="32"/>
        </w:rPr>
      </w:pPr>
      <w:r>
        <w:rPr>
          <w:rFonts w:hint="eastAsia" w:eastAsia="仿宋_GB2312"/>
          <w:snapToGrid w:val="0"/>
          <w:kern w:val="0"/>
          <w:szCs w:val="32"/>
        </w:rPr>
        <w:t>（五）</w:t>
      </w:r>
      <w:r>
        <w:rPr>
          <w:rFonts w:hint="eastAsia" w:eastAsia="仿宋_GB2312"/>
          <w:szCs w:val="32"/>
        </w:rPr>
        <w:t>其他需要补充提供的材料。</w:t>
      </w:r>
    </w:p>
    <w:p>
      <w:pPr>
        <w:topLinePunct/>
        <w:autoSpaceDE w:val="0"/>
        <w:autoSpaceDN w:val="0"/>
        <w:spacing w:line="600" w:lineRule="exact"/>
        <w:ind w:firstLine="624" w:firstLineChars="200"/>
        <w:rPr>
          <w:rFonts w:eastAsia="仿宋_GB2312"/>
          <w:szCs w:val="32"/>
        </w:rPr>
      </w:pPr>
      <w:r>
        <w:rPr>
          <w:rFonts w:hint="eastAsia" w:eastAsia="仿宋_GB2312"/>
          <w:szCs w:val="32"/>
        </w:rPr>
        <w:t>以上申请材料须真实合法，装订成册；复印件须每页加盖公章，并提供原件备查。</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黑体"/>
          <w:snapToGrid w:val="0"/>
          <w:kern w:val="0"/>
          <w:szCs w:val="32"/>
        </w:rPr>
        <w:t xml:space="preserve">第十条  </w:t>
      </w:r>
      <w:r>
        <w:rPr>
          <w:rFonts w:hint="eastAsia" w:eastAsia="仿宋_GB2312"/>
          <w:snapToGrid w:val="0"/>
          <w:kern w:val="0"/>
          <w:szCs w:val="32"/>
        </w:rPr>
        <w:t>奖励资金由市地方金融监管局、市财政局编入年度专项资金支出预算。</w:t>
      </w:r>
    </w:p>
    <w:p>
      <w:pPr>
        <w:overflowPunct w:val="0"/>
        <w:topLinePunct/>
        <w:autoSpaceDE w:val="0"/>
        <w:autoSpaceDN w:val="0"/>
        <w:adjustRightInd w:val="0"/>
        <w:snapToGrid w:val="0"/>
        <w:spacing w:line="580" w:lineRule="exact"/>
        <w:ind w:firstLine="624" w:firstLineChars="200"/>
        <w:rPr>
          <w:rFonts w:eastAsia="仿宋_GB2312"/>
          <w:snapToGrid w:val="0"/>
          <w:kern w:val="0"/>
          <w:szCs w:val="32"/>
        </w:rPr>
      </w:pPr>
      <w:r>
        <w:rPr>
          <w:rFonts w:hint="eastAsia" w:eastAsia="黑体"/>
          <w:snapToGrid w:val="0"/>
          <w:kern w:val="0"/>
          <w:szCs w:val="32"/>
        </w:rPr>
        <w:t xml:space="preserve">第十一条  </w:t>
      </w:r>
      <w:r>
        <w:rPr>
          <w:rFonts w:hint="eastAsia" w:eastAsia="仿宋_GB2312"/>
          <w:snapToGrid w:val="0"/>
          <w:kern w:val="0"/>
          <w:szCs w:val="32"/>
        </w:rPr>
        <w:t>各申报企业应如实上报奖励申请材料。市财政局、市金融监管局等部门应开展不定期核查工作，确保奖励政策落实到位。对违反财经纪律，在促进企业利用资本市场奖励中弄虚作假、截留、挪用、挤占资金等行为，按照有关法律、法规和规章，对相应的违法违规行为予以处理、处罚，依法追究有关单位及相关人员责任。</w:t>
      </w:r>
    </w:p>
    <w:p>
      <w:pPr>
        <w:overflowPunct w:val="0"/>
        <w:adjustRightInd w:val="0"/>
        <w:snapToGrid w:val="0"/>
        <w:spacing w:line="580" w:lineRule="exact"/>
        <w:ind w:firstLine="624" w:firstLineChars="200"/>
        <w:rPr>
          <w:rFonts w:eastAsia="仿宋_GB2312"/>
          <w:snapToGrid w:val="0"/>
          <w:kern w:val="0"/>
          <w:szCs w:val="32"/>
        </w:rPr>
      </w:pPr>
      <w:r>
        <w:rPr>
          <w:rFonts w:hint="eastAsia" w:eastAsia="黑体"/>
          <w:snapToGrid w:val="0"/>
          <w:kern w:val="0"/>
          <w:szCs w:val="32"/>
        </w:rPr>
        <w:t xml:space="preserve">第十二条  </w:t>
      </w:r>
      <w:r>
        <w:rPr>
          <w:rFonts w:hint="eastAsia" w:eastAsia="仿宋_GB2312"/>
          <w:snapToGrid w:val="0"/>
          <w:kern w:val="0"/>
          <w:szCs w:val="32"/>
        </w:rPr>
        <w:t>本细则</w:t>
      </w:r>
      <w:r>
        <w:rPr>
          <w:rFonts w:hint="eastAsia" w:ascii="仿宋_GB2312" w:eastAsia="仿宋_GB2312"/>
          <w:szCs w:val="32"/>
        </w:rPr>
        <w:t>自</w:t>
      </w:r>
      <w:r>
        <w:rPr>
          <w:rFonts w:hint="eastAsia" w:ascii="仿宋_GB2312" w:eastAsia="仿宋_GB2312"/>
          <w:szCs w:val="32"/>
          <w:lang w:val="en-US" w:eastAsia="zh-CN"/>
        </w:rPr>
        <w:t>XX年XX月XX日</w:t>
      </w:r>
      <w:r>
        <w:rPr>
          <w:rFonts w:hint="eastAsia" w:ascii="仿宋_GB2312" w:eastAsia="仿宋_GB2312"/>
          <w:szCs w:val="32"/>
        </w:rPr>
        <w:t>起</w:t>
      </w:r>
      <w:r>
        <w:rPr>
          <w:rFonts w:hint="eastAsia" w:ascii="仿宋_GB2312" w:eastAsia="仿宋_GB2312"/>
          <w:szCs w:val="32"/>
          <w:lang w:val="en-US" w:eastAsia="zh-CN"/>
        </w:rPr>
        <w:t>施行</w:t>
      </w:r>
      <w:r>
        <w:rPr>
          <w:rFonts w:hint="eastAsia" w:eastAsia="仿宋_GB2312"/>
          <w:snapToGrid w:val="0"/>
          <w:kern w:val="0"/>
          <w:szCs w:val="32"/>
        </w:rPr>
        <w:t>，</w:t>
      </w:r>
      <w:r>
        <w:rPr>
          <w:rFonts w:hint="eastAsia" w:ascii="仿宋_GB2312" w:eastAsia="仿宋_GB2312"/>
          <w:szCs w:val="32"/>
        </w:rPr>
        <w:t>《常熟市推进企业上市和上市企业“倍增行动计划”》（常政办发〔201</w:t>
      </w:r>
      <w:r>
        <w:rPr>
          <w:rFonts w:ascii="仿宋_GB2312" w:eastAsia="仿宋_GB2312"/>
          <w:szCs w:val="32"/>
        </w:rPr>
        <w:t>8</w:t>
      </w:r>
      <w:r>
        <w:rPr>
          <w:rFonts w:hint="eastAsia" w:ascii="仿宋_GB2312" w:eastAsia="仿宋_GB2312"/>
          <w:szCs w:val="32"/>
        </w:rPr>
        <w:t>〕4</w:t>
      </w:r>
      <w:r>
        <w:rPr>
          <w:rFonts w:ascii="仿宋_GB2312" w:eastAsia="仿宋_GB2312"/>
          <w:szCs w:val="32"/>
        </w:rPr>
        <w:t>9</w:t>
      </w:r>
      <w:r>
        <w:rPr>
          <w:rFonts w:hint="eastAsia" w:ascii="仿宋_GB2312" w:eastAsia="仿宋_GB2312"/>
          <w:szCs w:val="32"/>
        </w:rPr>
        <w:t>号）等</w:t>
      </w:r>
      <w:r>
        <w:rPr>
          <w:rFonts w:hint="eastAsia" w:ascii="仿宋_GB2312" w:eastAsia="仿宋_GB2312"/>
          <w:szCs w:val="32"/>
          <w:lang w:val="en-US" w:eastAsia="zh-CN"/>
        </w:rPr>
        <w:t>相关</w:t>
      </w:r>
      <w:r>
        <w:rPr>
          <w:rFonts w:hint="eastAsia" w:ascii="仿宋_GB2312" w:eastAsia="仿宋_GB2312"/>
          <w:szCs w:val="32"/>
        </w:rPr>
        <w:t>文件</w:t>
      </w:r>
      <w:r>
        <w:rPr>
          <w:rFonts w:hint="eastAsia" w:ascii="仿宋_GB2312" w:eastAsia="仿宋_GB2312"/>
          <w:szCs w:val="32"/>
          <w:lang w:val="en-US" w:eastAsia="zh-CN"/>
        </w:rPr>
        <w:t>自本细则施行之日起</w:t>
      </w:r>
      <w:r>
        <w:rPr>
          <w:rFonts w:hint="eastAsia" w:ascii="仿宋_GB2312" w:eastAsia="仿宋_GB2312"/>
          <w:szCs w:val="32"/>
        </w:rPr>
        <w:t>废止。</w:t>
      </w:r>
      <w:bookmarkStart w:id="0" w:name="_GoBack"/>
      <w:bookmarkEnd w:id="0"/>
    </w:p>
    <w:p>
      <w:pPr>
        <w:overflowPunct w:val="0"/>
        <w:adjustRightInd w:val="0"/>
        <w:snapToGrid w:val="0"/>
        <w:spacing w:line="580" w:lineRule="exact"/>
        <w:ind w:firstLine="624" w:firstLineChars="200"/>
        <w:rPr>
          <w:rFonts w:eastAsia="仿宋_GB2312"/>
          <w:snapToGrid w:val="0"/>
          <w:kern w:val="0"/>
          <w:szCs w:val="32"/>
        </w:rPr>
      </w:pPr>
    </w:p>
    <w:p>
      <w:pPr>
        <w:overflowPunct w:val="0"/>
        <w:adjustRightInd w:val="0"/>
        <w:snapToGrid w:val="0"/>
        <w:spacing w:line="580" w:lineRule="exact"/>
        <w:ind w:firstLine="624" w:firstLineChars="200"/>
        <w:rPr>
          <w:rFonts w:eastAsia="仿宋_GB2312"/>
          <w:snapToGrid w:val="0"/>
          <w:kern w:val="0"/>
          <w:szCs w:val="32"/>
        </w:rPr>
      </w:pPr>
      <w:r>
        <w:rPr>
          <w:rFonts w:hint="eastAsia" w:eastAsia="仿宋_GB2312"/>
          <w:snapToGrid w:val="0"/>
          <w:kern w:val="0"/>
          <w:szCs w:val="32"/>
        </w:rPr>
        <w:t>附件：常熟市企业上市挂牌奖励申请表</w:t>
      </w:r>
    </w:p>
    <w:p>
      <w:pPr>
        <w:widowControl/>
        <w:spacing w:line="560" w:lineRule="exact"/>
        <w:jc w:val="left"/>
        <w:rPr>
          <w:rFonts w:eastAsia="仿宋_GB2312"/>
          <w:snapToGrid w:val="0"/>
          <w:kern w:val="0"/>
          <w:szCs w:val="32"/>
        </w:rPr>
      </w:pPr>
      <w:r>
        <w:rPr>
          <w:rFonts w:eastAsia="仿宋_GB2312"/>
          <w:snapToGrid w:val="0"/>
          <w:kern w:val="0"/>
          <w:szCs w:val="32"/>
        </w:rPr>
        <w:br w:type="page"/>
      </w:r>
    </w:p>
    <w:p>
      <w:pPr>
        <w:outlineLvl w:val="1"/>
        <w:rPr>
          <w:rFonts w:ascii="黑体" w:hAnsi="黑体" w:eastAsia="黑体" w:cs="黑体"/>
          <w:sz w:val="24"/>
        </w:rPr>
      </w:pPr>
      <w:r>
        <w:rPr>
          <w:rFonts w:hint="eastAsia" w:ascii="黑体" w:hAnsi="黑体" w:eastAsia="黑体" w:cs="黑体"/>
          <w:sz w:val="24"/>
        </w:rPr>
        <w:t>附件</w:t>
      </w:r>
    </w:p>
    <w:p>
      <w:pPr>
        <w:widowControl/>
        <w:adjustRightInd w:val="0"/>
        <w:snapToGrid w:val="0"/>
        <w:spacing w:line="600" w:lineRule="atLeast"/>
        <w:jc w:val="center"/>
        <w:rPr>
          <w:rFonts w:ascii="方正小标宋简体" w:eastAsia="方正小标宋简体" w:cs="宋体" w:hAnsiTheme="majorEastAsia"/>
          <w:kern w:val="0"/>
          <w:sz w:val="40"/>
          <w:szCs w:val="40"/>
        </w:rPr>
      </w:pPr>
      <w:r>
        <w:rPr>
          <w:rFonts w:hint="eastAsia" w:ascii="方正小标宋简体" w:eastAsia="方正小标宋简体" w:cs="宋体" w:hAnsiTheme="majorEastAsia"/>
          <w:kern w:val="0"/>
          <w:sz w:val="40"/>
          <w:szCs w:val="40"/>
        </w:rPr>
        <w:t>常熟市企业上市挂牌奖励申请表</w:t>
      </w:r>
    </w:p>
    <w:tbl>
      <w:tblPr>
        <w:tblStyle w:val="4"/>
        <w:tblW w:w="9989" w:type="dxa"/>
        <w:jc w:val="center"/>
        <w:tblLayout w:type="autofit"/>
        <w:tblCellMar>
          <w:top w:w="0" w:type="dxa"/>
          <w:left w:w="108" w:type="dxa"/>
          <w:bottom w:w="0" w:type="dxa"/>
          <w:right w:w="108" w:type="dxa"/>
        </w:tblCellMar>
      </w:tblPr>
      <w:tblGrid>
        <w:gridCol w:w="1398"/>
        <w:gridCol w:w="1197"/>
        <w:gridCol w:w="1961"/>
        <w:gridCol w:w="1127"/>
        <w:gridCol w:w="1330"/>
        <w:gridCol w:w="1330"/>
        <w:gridCol w:w="1646"/>
      </w:tblGrid>
      <w:tr>
        <w:tblPrEx>
          <w:tblCellMar>
            <w:top w:w="0" w:type="dxa"/>
            <w:left w:w="108" w:type="dxa"/>
            <w:bottom w:w="0" w:type="dxa"/>
            <w:right w:w="108" w:type="dxa"/>
          </w:tblCellMar>
        </w:tblPrEx>
        <w:trPr>
          <w:trHeight w:val="907" w:hRule="atLeast"/>
          <w:jc w:val="center"/>
        </w:trPr>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企业名称</w:t>
            </w:r>
          </w:p>
        </w:tc>
        <w:tc>
          <w:tcPr>
            <w:tcW w:w="804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(盖章)</w:t>
            </w:r>
          </w:p>
        </w:tc>
      </w:tr>
      <w:tr>
        <w:tblPrEx>
          <w:tblCellMar>
            <w:top w:w="0" w:type="dxa"/>
            <w:left w:w="108" w:type="dxa"/>
            <w:bottom w:w="0" w:type="dxa"/>
            <w:right w:w="108" w:type="dxa"/>
          </w:tblCellMar>
        </w:tblPrEx>
        <w:trPr>
          <w:trHeight w:val="90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注册地址</w:t>
            </w:r>
          </w:p>
        </w:tc>
        <w:tc>
          <w:tcPr>
            <w:tcW w:w="804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w:t>
            </w:r>
          </w:p>
        </w:tc>
      </w:tr>
      <w:tr>
        <w:tblPrEx>
          <w:tblCellMar>
            <w:top w:w="0" w:type="dxa"/>
            <w:left w:w="108" w:type="dxa"/>
            <w:bottom w:w="0" w:type="dxa"/>
            <w:right w:w="108" w:type="dxa"/>
          </w:tblCellMar>
        </w:tblPrEx>
        <w:trPr>
          <w:trHeight w:val="90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注册资本</w:t>
            </w:r>
          </w:p>
        </w:tc>
        <w:tc>
          <w:tcPr>
            <w:tcW w:w="252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xml:space="preserve">     万元</w:t>
            </w:r>
          </w:p>
        </w:tc>
        <w:tc>
          <w:tcPr>
            <w:tcW w:w="251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社会统一信用代码</w:t>
            </w:r>
          </w:p>
        </w:tc>
        <w:tc>
          <w:tcPr>
            <w:tcW w:w="301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w:t>
            </w:r>
          </w:p>
        </w:tc>
      </w:tr>
      <w:tr>
        <w:tblPrEx>
          <w:tblCellMar>
            <w:top w:w="0" w:type="dxa"/>
            <w:left w:w="108" w:type="dxa"/>
            <w:bottom w:w="0" w:type="dxa"/>
            <w:right w:w="108" w:type="dxa"/>
          </w:tblCellMar>
        </w:tblPrEx>
        <w:trPr>
          <w:trHeight w:val="90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联系人</w:t>
            </w:r>
          </w:p>
        </w:tc>
        <w:tc>
          <w:tcPr>
            <w:tcW w:w="12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spacing w:val="0"/>
                <w:kern w:val="0"/>
                <w:sz w:val="22"/>
                <w:szCs w:val="22"/>
              </w:rPr>
            </w:pPr>
            <w:r>
              <w:rPr>
                <w:rFonts w:hint="eastAsia" w:ascii="仿宋_GB2312" w:hAnsi="等线" w:eastAsia="仿宋_GB2312" w:cs="宋体"/>
                <w:color w:val="000000"/>
                <w:spacing w:val="0"/>
                <w:kern w:val="0"/>
                <w:sz w:val="22"/>
                <w:szCs w:val="22"/>
              </w:rPr>
              <w:t>职务</w:t>
            </w:r>
          </w:p>
        </w:tc>
        <w:tc>
          <w:tcPr>
            <w:tcW w:w="251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联系电话</w:t>
            </w:r>
          </w:p>
        </w:tc>
        <w:tc>
          <w:tcPr>
            <w:tcW w:w="173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w:t>
            </w:r>
          </w:p>
        </w:tc>
      </w:tr>
      <w:tr>
        <w:tblPrEx>
          <w:tblCellMar>
            <w:top w:w="0" w:type="dxa"/>
            <w:left w:w="108" w:type="dxa"/>
            <w:bottom w:w="0" w:type="dxa"/>
            <w:right w:w="108" w:type="dxa"/>
          </w:tblCellMar>
        </w:tblPrEx>
        <w:trPr>
          <w:trHeight w:val="90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法定代表人</w:t>
            </w:r>
          </w:p>
        </w:tc>
        <w:tc>
          <w:tcPr>
            <w:tcW w:w="503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联系电话</w:t>
            </w:r>
          </w:p>
        </w:tc>
        <w:tc>
          <w:tcPr>
            <w:tcW w:w="173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w:t>
            </w:r>
          </w:p>
        </w:tc>
      </w:tr>
      <w:tr>
        <w:tblPrEx>
          <w:tblCellMar>
            <w:top w:w="0" w:type="dxa"/>
            <w:left w:w="108" w:type="dxa"/>
            <w:bottom w:w="0" w:type="dxa"/>
            <w:right w:w="108" w:type="dxa"/>
          </w:tblCellMar>
        </w:tblPrEx>
        <w:trPr>
          <w:trHeight w:val="907"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企业开户银行</w:t>
            </w:r>
          </w:p>
        </w:tc>
        <w:tc>
          <w:tcPr>
            <w:tcW w:w="375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银行账号</w:t>
            </w:r>
          </w:p>
        </w:tc>
        <w:tc>
          <w:tcPr>
            <w:tcW w:w="301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w:t>
            </w:r>
          </w:p>
        </w:tc>
      </w:tr>
      <w:tr>
        <w:tblPrEx>
          <w:tblCellMar>
            <w:top w:w="0" w:type="dxa"/>
            <w:left w:w="108" w:type="dxa"/>
            <w:bottom w:w="0" w:type="dxa"/>
            <w:right w:w="108" w:type="dxa"/>
          </w:tblCellMar>
        </w:tblPrEx>
        <w:trPr>
          <w:trHeight w:val="2205" w:hRule="atLeast"/>
          <w:jc w:val="center"/>
        </w:trPr>
        <w:tc>
          <w:tcPr>
            <w:tcW w:w="19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奖励内容</w:t>
            </w:r>
          </w:p>
        </w:tc>
        <w:tc>
          <w:tcPr>
            <w:tcW w:w="3754"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xml:space="preserve">□境内上市受理 </w:t>
            </w:r>
          </w:p>
          <w:p>
            <w:pPr>
              <w:widowControl/>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□境内上市成功发行</w:t>
            </w:r>
          </w:p>
          <w:p>
            <w:pPr>
              <w:widowControl/>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□境外上市成功发行</w:t>
            </w:r>
          </w:p>
          <w:p>
            <w:pPr>
              <w:widowControl/>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□“新三板”成功挂牌</w:t>
            </w:r>
          </w:p>
          <w:p>
            <w:pPr>
              <w:widowControl/>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□其他：</w:t>
            </w:r>
            <w:r>
              <w:rPr>
                <w:rFonts w:ascii="仿宋_GB2312" w:hAnsi="等线" w:eastAsia="仿宋_GB2312" w:cs="宋体"/>
                <w:color w:val="000000"/>
                <w:spacing w:val="0"/>
                <w:kern w:val="0"/>
                <w:sz w:val="24"/>
              </w:rPr>
              <w:t xml:space="preserve">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申请奖励金额</w:t>
            </w:r>
          </w:p>
        </w:tc>
        <w:tc>
          <w:tcPr>
            <w:tcW w:w="30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808080"/>
                <w:spacing w:val="0"/>
                <w:kern w:val="0"/>
                <w:sz w:val="24"/>
              </w:rPr>
            </w:pPr>
          </w:p>
        </w:tc>
      </w:tr>
      <w:tr>
        <w:tblPrEx>
          <w:tblCellMar>
            <w:top w:w="0" w:type="dxa"/>
            <w:left w:w="108" w:type="dxa"/>
            <w:bottom w:w="0" w:type="dxa"/>
            <w:right w:w="108" w:type="dxa"/>
          </w:tblCellMar>
        </w:tblPrEx>
        <w:trPr>
          <w:trHeight w:val="1629" w:hRule="atLeast"/>
          <w:jc w:val="center"/>
        </w:trPr>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市地方金融</w:t>
            </w:r>
          </w:p>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监管局意见</w:t>
            </w:r>
          </w:p>
        </w:tc>
        <w:tc>
          <w:tcPr>
            <w:tcW w:w="8045" w:type="dxa"/>
            <w:gridSpan w:val="6"/>
            <w:tcBorders>
              <w:top w:val="single" w:color="auto" w:sz="4" w:space="0"/>
              <w:left w:val="nil"/>
              <w:bottom w:val="single" w:color="auto" w:sz="4" w:space="0"/>
              <w:right w:val="single" w:color="auto" w:sz="4" w:space="0"/>
            </w:tcBorders>
            <w:shd w:val="clear" w:color="auto" w:fill="auto"/>
            <w:vAlign w:val="center"/>
          </w:tcPr>
          <w:p>
            <w:pPr>
              <w:tabs>
                <w:tab w:val="left" w:pos="2727"/>
              </w:tabs>
              <w:spacing w:line="360" w:lineRule="auto"/>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w:t>
            </w:r>
          </w:p>
          <w:p>
            <w:pPr>
              <w:tabs>
                <w:tab w:val="left" w:pos="2727"/>
              </w:tabs>
              <w:spacing w:line="360" w:lineRule="auto"/>
              <w:ind w:firstLine="5760" w:firstLineChars="2400"/>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（盖章）</w:t>
            </w:r>
          </w:p>
          <w:p>
            <w:pPr>
              <w:widowControl/>
              <w:wordWrap w:val="0"/>
              <w:jc w:val="right"/>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xml:space="preserve">年   月   日       </w:t>
            </w:r>
          </w:p>
          <w:p>
            <w:pPr>
              <w:widowControl/>
              <w:jc w:val="right"/>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xml:space="preserve"> </w:t>
            </w:r>
          </w:p>
        </w:tc>
      </w:tr>
      <w:tr>
        <w:tblPrEx>
          <w:tblCellMar>
            <w:top w:w="0" w:type="dxa"/>
            <w:left w:w="108" w:type="dxa"/>
            <w:bottom w:w="0" w:type="dxa"/>
            <w:right w:w="108" w:type="dxa"/>
          </w:tblCellMar>
        </w:tblPrEx>
        <w:trPr>
          <w:trHeight w:val="1629" w:hRule="atLeast"/>
          <w:jc w:val="center"/>
        </w:trPr>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市财政局意见</w:t>
            </w:r>
          </w:p>
        </w:tc>
        <w:tc>
          <w:tcPr>
            <w:tcW w:w="8045" w:type="dxa"/>
            <w:gridSpan w:val="6"/>
            <w:tcBorders>
              <w:top w:val="single" w:color="auto" w:sz="4" w:space="0"/>
              <w:left w:val="nil"/>
              <w:bottom w:val="single" w:color="auto" w:sz="4" w:space="0"/>
              <w:right w:val="single" w:color="auto" w:sz="4" w:space="0"/>
            </w:tcBorders>
            <w:shd w:val="clear" w:color="auto" w:fill="auto"/>
            <w:vAlign w:val="center"/>
          </w:tcPr>
          <w:p>
            <w:pPr>
              <w:tabs>
                <w:tab w:val="left" w:pos="2727"/>
              </w:tabs>
              <w:spacing w:line="360" w:lineRule="auto"/>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w:t>
            </w:r>
          </w:p>
          <w:p>
            <w:pPr>
              <w:tabs>
                <w:tab w:val="left" w:pos="2727"/>
              </w:tabs>
              <w:spacing w:line="360" w:lineRule="auto"/>
              <w:ind w:firstLine="5760" w:firstLineChars="2400"/>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（盖章）</w:t>
            </w:r>
          </w:p>
          <w:p>
            <w:pPr>
              <w:widowControl/>
              <w:wordWrap w:val="0"/>
              <w:jc w:val="right"/>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xml:space="preserve">年   月   日       </w:t>
            </w:r>
          </w:p>
          <w:p>
            <w:pPr>
              <w:widowControl/>
              <w:jc w:val="right"/>
              <w:rPr>
                <w:rFonts w:ascii="仿宋_GB2312" w:hAnsi="等线" w:eastAsia="仿宋_GB2312" w:cs="宋体"/>
                <w:color w:val="000000"/>
                <w:spacing w:val="0"/>
                <w:kern w:val="0"/>
                <w:sz w:val="24"/>
              </w:rPr>
            </w:pPr>
            <w:r>
              <w:rPr>
                <w:rFonts w:hint="eastAsia" w:ascii="仿宋_GB2312" w:hAnsi="等线" w:eastAsia="仿宋_GB2312" w:cs="宋体"/>
                <w:color w:val="000000"/>
                <w:spacing w:val="0"/>
                <w:kern w:val="0"/>
                <w:sz w:val="24"/>
              </w:rPr>
              <w:t xml:space="preserve"> </w:t>
            </w:r>
          </w:p>
        </w:tc>
      </w:tr>
    </w:tbl>
    <w:p>
      <w:pPr>
        <w:widowControl/>
        <w:snapToGrid w:val="0"/>
        <w:ind w:right="-159"/>
        <w:jc w:val="left"/>
        <w:rPr>
          <w:rFonts w:ascii="宋体" w:hAnsi="宋体" w:eastAsia="宋体" w:cs="宋体"/>
          <w:kern w:val="0"/>
          <w:sz w:val="22"/>
        </w:rPr>
      </w:pPr>
      <w:r>
        <w:rPr>
          <w:rFonts w:hint="eastAsia" w:ascii="宋体" w:hAnsi="宋体" w:eastAsia="宋体" w:cs="宋体"/>
          <w:kern w:val="0"/>
          <w:sz w:val="22"/>
        </w:rPr>
        <w:t>说明：本表需填写一式三份，市地方金融监管局、市财政局、企业各一份。</w:t>
      </w:r>
    </w:p>
    <w:sectPr>
      <w:pgSz w:w="11906" w:h="16838"/>
      <w:pgMar w:top="2155" w:right="1531" w:bottom="2155"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文鼎CS仿宋体">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UI Gothic">
    <w:panose1 w:val="020B0600070205080204"/>
    <w:charset w:val="80"/>
    <w:family w:val="swiss"/>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E6C"/>
    <w:rsid w:val="000441E6"/>
    <w:rsid w:val="00106D30"/>
    <w:rsid w:val="002232F6"/>
    <w:rsid w:val="00266ABA"/>
    <w:rsid w:val="002F34CD"/>
    <w:rsid w:val="00383263"/>
    <w:rsid w:val="00442831"/>
    <w:rsid w:val="00451710"/>
    <w:rsid w:val="004B619F"/>
    <w:rsid w:val="00616EA9"/>
    <w:rsid w:val="00650B79"/>
    <w:rsid w:val="00777369"/>
    <w:rsid w:val="0078532D"/>
    <w:rsid w:val="007E75EF"/>
    <w:rsid w:val="00985CF7"/>
    <w:rsid w:val="009E6D9D"/>
    <w:rsid w:val="00AD03B8"/>
    <w:rsid w:val="00B2048F"/>
    <w:rsid w:val="00B87195"/>
    <w:rsid w:val="00C5545B"/>
    <w:rsid w:val="00C73654"/>
    <w:rsid w:val="00CE5E6C"/>
    <w:rsid w:val="00DA6849"/>
    <w:rsid w:val="00DA75EA"/>
    <w:rsid w:val="00DD0A61"/>
    <w:rsid w:val="00EF60D2"/>
    <w:rsid w:val="00F312D8"/>
    <w:rsid w:val="00F97D9E"/>
    <w:rsid w:val="31DA387B"/>
    <w:rsid w:val="5C513ABC"/>
    <w:rsid w:val="78B21A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文鼎CS仿宋体" w:cs="Times New Roman"/>
      <w:spacing w:val="-4"/>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文鼎CS仿宋体" w:cs="Times New Roman"/>
      <w:spacing w:val="-4"/>
      <w:sz w:val="18"/>
      <w:szCs w:val="18"/>
    </w:rPr>
  </w:style>
  <w:style w:type="character" w:customStyle="1" w:styleId="7">
    <w:name w:val="页脚 Char"/>
    <w:basedOn w:val="5"/>
    <w:link w:val="2"/>
    <w:semiHidden/>
    <w:uiPriority w:val="99"/>
    <w:rPr>
      <w:rFonts w:ascii="Times New Roman" w:hAnsi="Times New Roman" w:eastAsia="文鼎CS仿宋体" w:cs="Times New Roman"/>
      <w:spacing w:val="-4"/>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885</Words>
  <Characters>1054</Characters>
  <Lines>131</Lines>
  <Paragraphs>161</Paragraphs>
  <TotalTime>23</TotalTime>
  <ScaleCrop>false</ScaleCrop>
  <LinksUpToDate>false</LinksUpToDate>
  <CharactersWithSpaces>1778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2021-11-29T07:36:00Z</dcterms:created>
  <dc:creator>JRK-QJ</dc:creator>
  <cp:lastModifiedBy>朱吴希</cp:lastModifiedBy>
  <dcterms:modified xsi:type="dcterms:W3CDTF">2021-11-30T02:50:25Z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CEFE8DD6B56B4D8897338D3E93F5908E</vt:lpwstr>
  </property>
</Properties>
</file>