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7E6BF">
      <w:pPr>
        <w:spacing w:before="312" w:beforeLines="100"/>
        <w:rPr>
          <w:rFonts w:ascii="方正小标宋简体" w:hAnsi="宋体" w:eastAsia="方正小标宋简体"/>
          <w:color w:val="FF0000"/>
          <w:spacing w:val="9"/>
          <w:w w:val="55"/>
          <w:kern w:val="0"/>
          <w:sz w:val="144"/>
          <w:szCs w:val="116"/>
        </w:rPr>
      </w:pPr>
      <w:r>
        <w:rPr>
          <w:rFonts w:ascii="方正小标宋简体" w:hAnsi="宋体" w:eastAsia="方正小标宋简体"/>
          <w:color w:val="FF0000"/>
          <w:spacing w:val="1"/>
          <w:w w:val="55"/>
          <w:kern w:val="0"/>
          <w:sz w:val="144"/>
          <w:szCs w:val="116"/>
          <w:fitText w:val="8838" w:id="-1044733184"/>
        </w:rPr>
        <w:t>常熟市发展和改革委员</w:t>
      </w:r>
      <w:r>
        <w:rPr>
          <w:rFonts w:ascii="方正小标宋简体" w:hAnsi="宋体" w:eastAsia="方正小标宋简体"/>
          <w:color w:val="FF0000"/>
          <w:spacing w:val="78"/>
          <w:w w:val="55"/>
          <w:kern w:val="0"/>
          <w:sz w:val="144"/>
          <w:szCs w:val="116"/>
          <w:fitText w:val="8838" w:id="-1044733184"/>
        </w:rPr>
        <w:t>会</w:t>
      </w:r>
    </w:p>
    <w:p w14:paraId="74F0AE4F">
      <w:pPr>
        <w:spacing w:line="560" w:lineRule="exact"/>
        <w:jc w:val="center"/>
        <w:rPr>
          <w:rFonts w:ascii="Times New Roman" w:hAnsi="Times New Roman" w:eastAsia="仿宋_GB2312" w:cs="Times New Roman"/>
          <w:bCs/>
          <w:sz w:val="32"/>
          <w:szCs w:val="32"/>
        </w:rPr>
      </w:pPr>
      <w:r>
        <w:rPr>
          <w:rFonts w:ascii="Times New Roman" w:hAnsi="Times New Roman" w:eastAsia="仿宋_GB2312" w:cs="Times New Roman"/>
          <w:sz w:val="32"/>
          <w:szCs w:val="32"/>
        </w:rPr>
        <w:t>常发改价〔202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color w:val="000000"/>
          <w:sz w:val="32"/>
          <w:szCs w:val="32"/>
          <w:lang w:val="en-US" w:eastAsia="zh-CN"/>
        </w:rPr>
        <w:t>2</w:t>
      </w:r>
      <w:r>
        <w:rPr>
          <w:rFonts w:ascii="Times New Roman" w:hAnsi="Times New Roman" w:eastAsia="仿宋_GB2312" w:cs="Times New Roman"/>
          <w:sz w:val="32"/>
          <w:szCs w:val="32"/>
        </w:rPr>
        <w:t>号</w:t>
      </w:r>
    </w:p>
    <w:p w14:paraId="3DCF1700">
      <w:pPr>
        <w:pStyle w:val="3"/>
        <w:tabs>
          <w:tab w:val="left" w:pos="425"/>
        </w:tabs>
        <w:adjustRightInd w:val="0"/>
        <w:snapToGrid w:val="0"/>
        <w:spacing w:line="560" w:lineRule="exact"/>
        <w:ind w:firstLine="0" w:firstLineChars="0"/>
        <w:rPr>
          <w:rFonts w:ascii="Times New Roman" w:hAnsi="Times New Roman"/>
        </w:rPr>
      </w:pPr>
      <w:r>
        <w:rPr>
          <w:rFonts w:ascii="Times New Roman" w:hAnsi="Times New Roman"/>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394335</wp:posOffset>
                </wp:positionV>
                <wp:extent cx="5600700" cy="0"/>
                <wp:effectExtent l="27940" t="28575" r="29210" b="2857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44450">
                          <a:solidFill>
                            <a:srgbClr val="FF0000"/>
                          </a:solidFill>
                          <a:round/>
                        </a:ln>
                      </wps:spPr>
                      <wps:bodyPr/>
                    </wps:wsp>
                  </a:graphicData>
                </a:graphic>
              </wp:anchor>
            </w:drawing>
          </mc:Choice>
          <mc:Fallback>
            <w:pict>
              <v:line id="_x0000_s1026" o:spid="_x0000_s1026" o:spt="20" style="position:absolute;left:0pt;margin-left:0.05pt;margin-top:31.05pt;height:0pt;width:441pt;z-index:251661312;mso-width-relative:page;mso-height-relative:page;" filled="f" stroked="t" coordsize="21600,21600" o:gfxdata="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JY9A7DSAAAABgEA&#10;AA8AAAAAAAAAAQAgAAAAIgAAAGRycy9kb3ducmV2LnhtbFBLAQIUABQAAAAIAIdO4kAAdaQU5wEA&#10;AKsDAAAOAAAAAAAAAAEAIAAAACEBAABkcnMvZTJvRG9jLnhtbFBLBQYAAAAABgAGAFkBAAB6BQAA&#10;AAA=&#10;">
                <v:fill on="f" focussize="0,0"/>
                <v:stroke weight="3.5pt" color="#FF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1270" t="3810" r="0" b="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a:noFill/>
                        </a:ln>
                      </wps:spPr>
                      <wps:bodyPr/>
                    </wps:wsp>
                  </a:graphicData>
                </a:graphic>
              </wp:anchor>
            </w:drawing>
          </mc:Choice>
          <mc:Fallback>
            <w:pict>
              <v:line id="_x0000_s1026" o:spid="_x0000_s1026" o:spt="20" style="position:absolute;left:0pt;margin-left:-0.55pt;margin-top:2.85pt;height:0pt;width:441pt;z-index:251660288;mso-width-relative:page;mso-height-relative:page;" filled="f" stroked="f" coordsize="21600,21600" o:gfxdata="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D8hjGfUAAAABgEAAA8AAAAAAAAAAQAgAAAAIgAAAGRycy9kb3ducmV2LnhtbFBL&#10;AQIUABQAAAAIAIdO4kBf0FVVwQEAAG4DAAAOAAAAAAAAAAEAIAAAACMBAABkcnMvZTJvRG9jLnht&#10;bFBLBQYAAAAABgAGAFkBAABWBQAAAAA=&#10;">
                <v:fill on="f" focussize="0,0"/>
                <v:stroke on="f"/>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3810"/>
                <wp:wrapSquare wrapText="bothSides"/>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a:noFill/>
                        </a:ln>
                      </wps:spPr>
                      <wps:bodyPr/>
                    </wps:wsp>
                  </a:graphicData>
                </a:graphic>
              </wp:anchor>
            </w:drawing>
          </mc:Choice>
          <mc:Fallback>
            <w:pict>
              <v:line id="_x0000_s1026"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GYvuwnWAAAABgEAAA8AAAAAAAAAAQAgAAAAIgAAAGRycy9kb3ducmV2Lnht&#10;bFBLAQIUABQAAAAIAIdO4kA32gDqwgEAAG4DAAAOAAAAAAAAAAEAIAAAACUBAABkcnMvZTJvRG9j&#10;LnhtbFBLBQYAAAAABgAGAFkBAABZBQAAAAA=&#10;">
                <v:fill on="f" focussize="0,0"/>
                <v:stroke on="f"/>
                <v:imagedata o:title=""/>
                <o:lock v:ext="edit" aspectratio="f"/>
                <w10:wrap type="square"/>
              </v:line>
            </w:pict>
          </mc:Fallback>
        </mc:AlternateContent>
      </w:r>
    </w:p>
    <w:p w14:paraId="6B10C93C">
      <w:pPr>
        <w:pStyle w:val="3"/>
        <w:tabs>
          <w:tab w:val="left" w:pos="425"/>
        </w:tabs>
        <w:adjustRightInd w:val="0"/>
        <w:snapToGrid w:val="0"/>
        <w:spacing w:line="560" w:lineRule="exact"/>
        <w:ind w:firstLine="0" w:firstLineChars="0"/>
        <w:rPr>
          <w:rFonts w:ascii="Times New Roman" w:hAnsi="Times New Roman"/>
        </w:rPr>
      </w:pPr>
    </w:p>
    <w:p w14:paraId="41BFBD98">
      <w:pPr>
        <w:pStyle w:val="2"/>
        <w:adjustRightInd w:val="0"/>
        <w:snapToGrid w:val="0"/>
        <w:spacing w:line="600" w:lineRule="exact"/>
        <w:ind w:firstLine="57"/>
        <w:jc w:val="center"/>
        <w:rPr>
          <w:rFonts w:ascii="方正小标宋简体" w:eastAsia="方正小标宋简体"/>
          <w:sz w:val="44"/>
          <w:szCs w:val="44"/>
        </w:rPr>
      </w:pPr>
      <w:r>
        <w:rPr>
          <w:rFonts w:eastAsia="方正小标宋简体"/>
          <w:sz w:val="44"/>
          <w:szCs w:val="44"/>
        </w:rPr>
        <w:t>关于</w:t>
      </w:r>
      <w:r>
        <w:rPr>
          <w:rFonts w:hint="eastAsia" w:eastAsia="方正小标宋简体"/>
          <w:sz w:val="44"/>
          <w:szCs w:val="44"/>
          <w:lang w:val="en-US" w:eastAsia="zh-CN"/>
        </w:rPr>
        <w:t>调整</w:t>
      </w:r>
      <w:r>
        <w:rPr>
          <w:rFonts w:hint="eastAsia" w:ascii="方正小标宋简体" w:eastAsia="方正小标宋简体"/>
          <w:sz w:val="44"/>
          <w:szCs w:val="44"/>
        </w:rPr>
        <w:t>常熟市非居民用管道天然气</w:t>
      </w:r>
    </w:p>
    <w:p w14:paraId="403DF8BF">
      <w:pPr>
        <w:pStyle w:val="2"/>
        <w:adjustRightInd w:val="0"/>
        <w:snapToGrid w:val="0"/>
        <w:spacing w:line="600" w:lineRule="exact"/>
        <w:ind w:firstLine="57"/>
        <w:jc w:val="center"/>
        <w:rPr>
          <w:rFonts w:eastAsia="方正小标宋简体"/>
          <w:sz w:val="44"/>
          <w:szCs w:val="44"/>
        </w:rPr>
      </w:pPr>
      <w:r>
        <w:rPr>
          <w:rFonts w:ascii="方正小标宋简体" w:eastAsia="方正小标宋简体"/>
          <w:sz w:val="44"/>
          <w:szCs w:val="44"/>
        </w:rPr>
        <w:t>采暖季销售价格</w:t>
      </w:r>
      <w:r>
        <w:rPr>
          <w:rFonts w:eastAsia="方正小标宋简体"/>
          <w:sz w:val="44"/>
          <w:szCs w:val="44"/>
        </w:rPr>
        <w:t>的通知</w:t>
      </w:r>
    </w:p>
    <w:p w14:paraId="3621AA14">
      <w:pPr>
        <w:pStyle w:val="3"/>
        <w:tabs>
          <w:tab w:val="left" w:pos="425"/>
        </w:tabs>
        <w:adjustRightInd w:val="0"/>
        <w:snapToGrid w:val="0"/>
        <w:spacing w:line="560" w:lineRule="exact"/>
        <w:ind w:firstLine="0" w:firstLineChars="0"/>
        <w:rPr>
          <w:rFonts w:ascii="Times New Roman" w:hAnsi="Times New Roman"/>
        </w:rPr>
      </w:pPr>
    </w:p>
    <w:p w14:paraId="0753086B">
      <w:pPr>
        <w:pStyle w:val="3"/>
        <w:tabs>
          <w:tab w:val="left" w:pos="425"/>
        </w:tabs>
        <w:adjustRightInd w:val="0"/>
        <w:snapToGrid w:val="0"/>
        <w:spacing w:line="560" w:lineRule="exact"/>
        <w:ind w:firstLine="0" w:firstLineChars="0"/>
        <w:jc w:val="left"/>
        <w:rPr>
          <w:rFonts w:hAnsi="Times New Roman"/>
        </w:rPr>
      </w:pPr>
      <w:r>
        <w:rPr>
          <w:rFonts w:hint="eastAsia" w:hAnsi="Times New Roman"/>
        </w:rPr>
        <w:t>常熟市天然气有限公司、常熟中石油昆仑燃气有限公司：</w:t>
      </w:r>
    </w:p>
    <w:p w14:paraId="4675943B">
      <w:pPr>
        <w:spacing w:line="560" w:lineRule="exact"/>
        <w:ind w:firstLine="640" w:firstLineChars="200"/>
        <w:rPr>
          <w:rFonts w:eastAsia="仿宋_GB2312"/>
          <w:kern w:val="0"/>
          <w:sz w:val="32"/>
          <w:szCs w:val="32"/>
        </w:rPr>
      </w:pPr>
      <w:r>
        <w:rPr>
          <w:rFonts w:hint="eastAsia" w:eastAsia="仿宋_GB2312"/>
          <w:kern w:val="0"/>
          <w:sz w:val="32"/>
          <w:szCs w:val="32"/>
        </w:rPr>
        <w:t>根据天然气价格管理相关规定，经核查常熟市天然气有限公司、常熟中石油昆仑燃气有限公司与各自上游气源企业签订购气合同的内容，为确保全市天然气稳定供应，</w:t>
      </w:r>
      <w:r>
        <w:rPr>
          <w:rFonts w:hint="eastAsia" w:ascii="仿宋_GB2312" w:hAnsi="仿宋" w:eastAsia="仿宋_GB2312"/>
          <w:sz w:val="32"/>
          <w:szCs w:val="32"/>
        </w:rPr>
        <w:t>合理分担供用双方成本，</w:t>
      </w:r>
      <w:r>
        <w:rPr>
          <w:rFonts w:hint="eastAsia" w:eastAsia="仿宋_GB2312"/>
          <w:kern w:val="0"/>
          <w:sz w:val="32"/>
          <w:szCs w:val="32"/>
        </w:rPr>
        <w:t>经市政府同意，决定</w:t>
      </w:r>
      <w:r>
        <w:rPr>
          <w:rFonts w:hint="eastAsia" w:eastAsia="仿宋_GB2312"/>
          <w:kern w:val="0"/>
          <w:sz w:val="32"/>
          <w:szCs w:val="32"/>
          <w:lang w:val="en-US" w:eastAsia="zh-CN"/>
        </w:rPr>
        <w:t>调整</w:t>
      </w:r>
      <w:r>
        <w:rPr>
          <w:rFonts w:hint="eastAsia" w:eastAsia="仿宋_GB2312"/>
          <w:kern w:val="0"/>
          <w:sz w:val="32"/>
          <w:szCs w:val="32"/>
        </w:rPr>
        <w:t>全市非居民用管道天然气采暖季销售价格，现将有关事项通知如下：</w:t>
      </w:r>
    </w:p>
    <w:p w14:paraId="133334A0">
      <w:pPr>
        <w:pStyle w:val="3"/>
        <w:tabs>
          <w:tab w:val="left" w:pos="425"/>
        </w:tabs>
        <w:adjustRightInd w:val="0"/>
        <w:snapToGrid w:val="0"/>
        <w:spacing w:line="560" w:lineRule="exact"/>
        <w:rPr>
          <w:rFonts w:ascii="Times New Roman" w:hAnsi="Times New Roman"/>
        </w:rPr>
      </w:pPr>
      <w:r>
        <w:rPr>
          <w:rFonts w:hint="eastAsia" w:ascii="Times New Roman" w:hAnsi="Times New Roman"/>
        </w:rPr>
        <w:t>一、202</w:t>
      </w:r>
      <w:r>
        <w:rPr>
          <w:rFonts w:hint="eastAsia" w:ascii="Times New Roman" w:hAnsi="Times New Roman"/>
          <w:lang w:val="en-US" w:eastAsia="zh-CN"/>
        </w:rPr>
        <w:t>5</w:t>
      </w:r>
      <w:r>
        <w:rPr>
          <w:rFonts w:hint="eastAsia" w:ascii="Times New Roman" w:hAnsi="Times New Roman"/>
        </w:rPr>
        <w:t>年</w:t>
      </w:r>
      <w:r>
        <w:rPr>
          <w:rFonts w:ascii="Times New Roman" w:hAnsi="Times New Roman"/>
        </w:rPr>
        <w:t>11</w:t>
      </w:r>
      <w:r>
        <w:rPr>
          <w:rFonts w:hint="eastAsia" w:ascii="Times New Roman" w:hAnsi="Times New Roman"/>
        </w:rPr>
        <w:t>月1日</w:t>
      </w:r>
      <w:r>
        <w:rPr>
          <w:rFonts w:hint="eastAsia" w:ascii="Times New Roman" w:hAnsi="Times New Roman"/>
          <w:lang w:eastAsia="zh-CN"/>
        </w:rPr>
        <w:t>—</w:t>
      </w:r>
      <w:r>
        <w:rPr>
          <w:rFonts w:hint="eastAsia" w:ascii="Times New Roman" w:hAnsi="Times New Roman"/>
        </w:rPr>
        <w:t>202</w:t>
      </w:r>
      <w:r>
        <w:rPr>
          <w:rFonts w:hint="eastAsia" w:ascii="Times New Roman" w:hAnsi="Times New Roman"/>
          <w:lang w:val="en-US" w:eastAsia="zh-CN"/>
        </w:rPr>
        <w:t>6</w:t>
      </w:r>
      <w:r>
        <w:rPr>
          <w:rFonts w:hint="eastAsia" w:ascii="Times New Roman" w:hAnsi="Times New Roman"/>
        </w:rPr>
        <w:t>年</w:t>
      </w:r>
      <w:r>
        <w:rPr>
          <w:rFonts w:ascii="Times New Roman" w:hAnsi="Times New Roman"/>
        </w:rPr>
        <w:t>3</w:t>
      </w:r>
      <w:r>
        <w:rPr>
          <w:rFonts w:hint="eastAsia" w:ascii="Times New Roman" w:hAnsi="Times New Roman"/>
        </w:rPr>
        <w:t>月3</w:t>
      </w:r>
      <w:r>
        <w:rPr>
          <w:rFonts w:ascii="Times New Roman" w:hAnsi="Times New Roman"/>
        </w:rPr>
        <w:t>1</w:t>
      </w:r>
      <w:r>
        <w:rPr>
          <w:rFonts w:hint="eastAsia" w:ascii="Times New Roman" w:hAnsi="Times New Roman"/>
        </w:rPr>
        <w:t>日期间，非居民用管道天然气销售价格调整为</w:t>
      </w:r>
      <w:r>
        <w:rPr>
          <w:rFonts w:hint="eastAsia" w:ascii="Times New Roman" w:hAnsi="Times New Roman"/>
          <w:lang w:val="en-US" w:eastAsia="zh-CN"/>
        </w:rPr>
        <w:t>3.891</w:t>
      </w:r>
      <w:r>
        <w:rPr>
          <w:rFonts w:hint="eastAsia" w:ascii="Times New Roman" w:hAnsi="Times New Roman"/>
        </w:rPr>
        <w:t>元/立方米。与非采暖季（202</w:t>
      </w:r>
      <w:r>
        <w:rPr>
          <w:rFonts w:hint="eastAsia" w:ascii="Times New Roman" w:hAnsi="Times New Roman"/>
          <w:lang w:val="en-US" w:eastAsia="zh-CN"/>
        </w:rPr>
        <w:t>5</w:t>
      </w:r>
      <w:r>
        <w:rPr>
          <w:rFonts w:hint="eastAsia" w:ascii="Times New Roman" w:hAnsi="Times New Roman"/>
        </w:rPr>
        <w:t>年</w:t>
      </w:r>
      <w:r>
        <w:rPr>
          <w:rFonts w:ascii="Times New Roman" w:hAnsi="Times New Roman"/>
        </w:rPr>
        <w:t>4</w:t>
      </w:r>
      <w:r>
        <w:rPr>
          <w:rFonts w:hint="eastAsia" w:ascii="Times New Roman" w:hAnsi="Times New Roman"/>
        </w:rPr>
        <w:t>月1日—</w:t>
      </w:r>
      <w:r>
        <w:rPr>
          <w:rFonts w:ascii="Times New Roman" w:hAnsi="Times New Roman"/>
        </w:rPr>
        <w:t>10</w:t>
      </w:r>
      <w:r>
        <w:rPr>
          <w:rFonts w:hint="eastAsia" w:ascii="Times New Roman" w:hAnsi="Times New Roman"/>
        </w:rPr>
        <w:t>月31日）销售价格</w:t>
      </w:r>
      <w:r>
        <w:rPr>
          <w:rFonts w:ascii="Times New Roman" w:hAnsi="Times New Roman"/>
        </w:rPr>
        <w:t>3.7</w:t>
      </w:r>
      <w:r>
        <w:rPr>
          <w:rFonts w:hint="eastAsia" w:ascii="Times New Roman" w:hAnsi="Times New Roman"/>
          <w:lang w:val="en-US" w:eastAsia="zh-CN"/>
        </w:rPr>
        <w:t>14</w:t>
      </w:r>
      <w:r>
        <w:rPr>
          <w:rFonts w:hint="eastAsia" w:ascii="Times New Roman" w:hAnsi="Times New Roman"/>
        </w:rPr>
        <w:t>元/立方米相比，每立方米上调0</w:t>
      </w:r>
      <w:r>
        <w:rPr>
          <w:rFonts w:ascii="Times New Roman" w:hAnsi="Times New Roman"/>
        </w:rPr>
        <w:t>.</w:t>
      </w:r>
      <w:r>
        <w:rPr>
          <w:rFonts w:hint="eastAsia" w:ascii="Times New Roman" w:hAnsi="Times New Roman"/>
          <w:lang w:val="en-US" w:eastAsia="zh-CN"/>
        </w:rPr>
        <w:t>177</w:t>
      </w:r>
      <w:r>
        <w:rPr>
          <w:rFonts w:ascii="Times New Roman" w:hAnsi="Times New Roman"/>
        </w:rPr>
        <w:t>元</w:t>
      </w:r>
      <w:r>
        <w:rPr>
          <w:rFonts w:hint="eastAsia" w:ascii="Times New Roman" w:hAnsi="Times New Roman"/>
        </w:rPr>
        <w:t>。</w:t>
      </w:r>
    </w:p>
    <w:p w14:paraId="0B931CE8">
      <w:pPr>
        <w:pStyle w:val="3"/>
        <w:tabs>
          <w:tab w:val="left" w:pos="425"/>
        </w:tabs>
        <w:adjustRightInd w:val="0"/>
        <w:snapToGrid w:val="0"/>
        <w:spacing w:line="560" w:lineRule="exact"/>
        <w:rPr>
          <w:rFonts w:ascii="Times New Roman" w:hAnsi="Times New Roman"/>
        </w:rPr>
      </w:pPr>
      <w:r>
        <w:rPr>
          <w:rFonts w:hint="eastAsia" w:ascii="Times New Roman" w:hAnsi="Times New Roman"/>
        </w:rPr>
        <w:t>二、燃气企业可自主决定对用气大户是否享受优惠政策。</w:t>
      </w:r>
    </w:p>
    <w:p w14:paraId="20C812CC">
      <w:pPr>
        <w:pStyle w:val="3"/>
        <w:tabs>
          <w:tab w:val="left" w:pos="425"/>
        </w:tabs>
        <w:adjustRightInd w:val="0"/>
        <w:snapToGrid w:val="0"/>
        <w:spacing w:line="560" w:lineRule="exact"/>
        <w:rPr>
          <w:rFonts w:ascii="Times New Roman" w:hAnsi="Times New Roman"/>
        </w:rPr>
      </w:pPr>
      <w:r>
        <w:rPr>
          <w:rFonts w:hint="eastAsia" w:ascii="Times New Roman" w:hAnsi="Times New Roman"/>
        </w:rPr>
        <w:t>三、为保证全市非居民用天然气稳定供应，对合同外购气实行代购代销价格政策，即按天然气购销合同及补充协议中的气量分解落实到用户后，仍无法满足用户需求的，本着自愿委托的原则，由用户委托燃气企业通过采购LNG、竞拍气等渠道采购供气，并根据采购成本、输配费用等协商确定代购代销结算价格。为减轻下游用气企业负担，采购成本按采购价格和采购量加权平均计算，配气价格在正常配气价格0.66元/立方米基础上降低0.</w:t>
      </w:r>
      <w:r>
        <w:rPr>
          <w:rFonts w:ascii="Times New Roman" w:hAnsi="Times New Roman"/>
        </w:rPr>
        <w:t>20</w:t>
      </w:r>
      <w:r>
        <w:rPr>
          <w:rFonts w:hint="eastAsia" w:ascii="Times New Roman" w:hAnsi="Times New Roman"/>
        </w:rPr>
        <w:t>元/立方米执行，即0.</w:t>
      </w:r>
      <w:r>
        <w:rPr>
          <w:rFonts w:ascii="Times New Roman" w:hAnsi="Times New Roman"/>
        </w:rPr>
        <w:t>46</w:t>
      </w:r>
      <w:r>
        <w:rPr>
          <w:rFonts w:hint="eastAsia" w:ascii="Times New Roman" w:hAnsi="Times New Roman"/>
        </w:rPr>
        <w:t>元/立方米。燃气企业要主动与用户沟通，做好气量测算到户等工作，并与用户签订委托供气协议。</w:t>
      </w:r>
    </w:p>
    <w:p w14:paraId="5E5E313E">
      <w:pPr>
        <w:pStyle w:val="3"/>
        <w:tabs>
          <w:tab w:val="left" w:pos="425"/>
        </w:tabs>
        <w:adjustRightInd w:val="0"/>
        <w:snapToGrid w:val="0"/>
        <w:spacing w:line="560" w:lineRule="exact"/>
        <w:rPr>
          <w:rFonts w:ascii="Times New Roman" w:hAnsi="Times New Roman"/>
        </w:rPr>
      </w:pPr>
      <w:r>
        <w:rPr>
          <w:rFonts w:hint="eastAsia" w:ascii="Times New Roman" w:hAnsi="Times New Roman"/>
        </w:rPr>
        <w:t>四、燃气企业要保证市场供应，严格执行国家价格政策，不得超过规定价格售气或变相提高用气价格。同时，要认真做好调价政策宣传解释工作，妥善处理实施中遇到的有关问题，确保调价政策平稳实施。</w:t>
      </w:r>
    </w:p>
    <w:p w14:paraId="0FAD67A4">
      <w:pPr>
        <w:spacing w:line="560" w:lineRule="exact"/>
        <w:ind w:firstLine="640" w:firstLineChars="200"/>
        <w:rPr>
          <w:rFonts w:eastAsia="仿宋_GB2312"/>
          <w:kern w:val="0"/>
          <w:sz w:val="32"/>
          <w:szCs w:val="32"/>
        </w:rPr>
      </w:pPr>
      <w:r>
        <w:rPr>
          <w:rFonts w:hint="eastAsia" w:eastAsia="仿宋_GB2312"/>
          <w:kern w:val="0"/>
          <w:sz w:val="32"/>
          <w:szCs w:val="32"/>
        </w:rPr>
        <w:t>五、本通知执行期间如遇到价格政策调整，则按照新政策执行。</w:t>
      </w:r>
    </w:p>
    <w:p w14:paraId="014D1CB3">
      <w:pPr>
        <w:pStyle w:val="3"/>
        <w:tabs>
          <w:tab w:val="left" w:pos="425"/>
        </w:tabs>
        <w:adjustRightInd w:val="0"/>
        <w:snapToGrid w:val="0"/>
        <w:spacing w:line="560" w:lineRule="exact"/>
        <w:jc w:val="left"/>
        <w:rPr>
          <w:rFonts w:ascii="Times New Roman" w:hAnsi="Times New Roman"/>
        </w:rPr>
      </w:pPr>
    </w:p>
    <w:p w14:paraId="3F564AAC">
      <w:pPr>
        <w:pStyle w:val="3"/>
        <w:tabs>
          <w:tab w:val="left" w:pos="425"/>
        </w:tabs>
        <w:adjustRightInd w:val="0"/>
        <w:snapToGrid w:val="0"/>
        <w:spacing w:line="560" w:lineRule="exact"/>
        <w:jc w:val="left"/>
        <w:rPr>
          <w:rFonts w:ascii="Times New Roman" w:hAnsi="Times New Roman"/>
        </w:rPr>
      </w:pPr>
    </w:p>
    <w:p w14:paraId="74B5CA6F">
      <w:pPr>
        <w:pStyle w:val="3"/>
        <w:tabs>
          <w:tab w:val="left" w:pos="425"/>
        </w:tabs>
        <w:adjustRightInd w:val="0"/>
        <w:snapToGrid w:val="0"/>
        <w:spacing w:line="560" w:lineRule="exact"/>
        <w:jc w:val="left"/>
        <w:rPr>
          <w:rFonts w:ascii="Times New Roman" w:hAnsi="Times New Roman"/>
        </w:rPr>
      </w:pPr>
    </w:p>
    <w:p w14:paraId="06C3645B">
      <w:pPr>
        <w:pStyle w:val="3"/>
        <w:tabs>
          <w:tab w:val="left" w:pos="425"/>
        </w:tabs>
        <w:adjustRightInd w:val="0"/>
        <w:snapToGrid w:val="0"/>
        <w:spacing w:line="560" w:lineRule="exact"/>
        <w:jc w:val="left"/>
        <w:rPr>
          <w:rFonts w:ascii="Times New Roman" w:hAnsi="Times New Roman"/>
        </w:rPr>
      </w:pPr>
    </w:p>
    <w:p w14:paraId="176D5F14">
      <w:pPr>
        <w:pStyle w:val="3"/>
        <w:tabs>
          <w:tab w:val="left" w:pos="425"/>
        </w:tabs>
        <w:adjustRightInd w:val="0"/>
        <w:snapToGrid w:val="0"/>
        <w:spacing w:line="560" w:lineRule="exact"/>
        <w:jc w:val="left"/>
        <w:rPr>
          <w:rFonts w:ascii="Times New Roman" w:hAnsi="Times New Roman"/>
        </w:rPr>
      </w:pPr>
    </w:p>
    <w:p w14:paraId="3F67C3B6">
      <w:pPr>
        <w:pStyle w:val="3"/>
        <w:tabs>
          <w:tab w:val="left" w:pos="425"/>
        </w:tabs>
        <w:adjustRightInd w:val="0"/>
        <w:snapToGrid w:val="0"/>
        <w:spacing w:line="560" w:lineRule="exact"/>
        <w:jc w:val="left"/>
        <w:rPr>
          <w:rFonts w:ascii="Times New Roman" w:hAnsi="Times New Roman"/>
        </w:rPr>
      </w:pPr>
    </w:p>
    <w:p w14:paraId="2F0A1FF6">
      <w:pPr>
        <w:pStyle w:val="3"/>
        <w:tabs>
          <w:tab w:val="left" w:pos="425"/>
        </w:tabs>
        <w:adjustRightInd w:val="0"/>
        <w:snapToGrid w:val="0"/>
        <w:spacing w:line="560" w:lineRule="exact"/>
        <w:jc w:val="left"/>
        <w:rPr>
          <w:rFonts w:ascii="Times New Roman" w:hAnsi="Times New Roman"/>
        </w:rPr>
      </w:pPr>
    </w:p>
    <w:p w14:paraId="635F2104">
      <w:pPr>
        <w:pStyle w:val="3"/>
        <w:tabs>
          <w:tab w:val="left" w:pos="425"/>
        </w:tabs>
        <w:adjustRightInd w:val="0"/>
        <w:snapToGrid w:val="0"/>
        <w:spacing w:line="560" w:lineRule="exact"/>
        <w:jc w:val="left"/>
        <w:rPr>
          <w:rFonts w:ascii="Times New Roman" w:hAnsi="Times New Roman"/>
        </w:rPr>
      </w:pPr>
      <w:r>
        <w:rPr>
          <w:rFonts w:ascii="Times New Roman" w:hAnsi="Times New Roman"/>
        </w:rPr>
        <w:t>（此页无正文）</w:t>
      </w:r>
    </w:p>
    <w:p w14:paraId="32EC4E77">
      <w:pPr>
        <w:pStyle w:val="3"/>
        <w:tabs>
          <w:tab w:val="left" w:pos="425"/>
        </w:tabs>
        <w:adjustRightInd w:val="0"/>
        <w:snapToGrid w:val="0"/>
        <w:spacing w:line="560" w:lineRule="exact"/>
        <w:jc w:val="left"/>
        <w:rPr>
          <w:rFonts w:ascii="Times New Roman" w:hAnsi="Times New Roman"/>
        </w:rPr>
      </w:pPr>
    </w:p>
    <w:p w14:paraId="36A8EFEF">
      <w:pPr>
        <w:pStyle w:val="3"/>
        <w:tabs>
          <w:tab w:val="left" w:pos="425"/>
        </w:tabs>
        <w:adjustRightInd w:val="0"/>
        <w:snapToGrid w:val="0"/>
        <w:spacing w:line="560" w:lineRule="exact"/>
        <w:jc w:val="left"/>
        <w:rPr>
          <w:rFonts w:ascii="Times New Roman" w:hAnsi="Times New Roman"/>
        </w:rPr>
      </w:pPr>
    </w:p>
    <w:p w14:paraId="2E782F66">
      <w:pPr>
        <w:pStyle w:val="3"/>
        <w:tabs>
          <w:tab w:val="left" w:pos="425"/>
        </w:tabs>
        <w:wordWrap w:val="0"/>
        <w:adjustRightInd w:val="0"/>
        <w:snapToGrid w:val="0"/>
        <w:spacing w:line="560" w:lineRule="exact"/>
        <w:jc w:val="right"/>
        <w:rPr>
          <w:rFonts w:ascii="Times New Roman" w:hAnsi="Times New Roman"/>
        </w:rPr>
      </w:pPr>
      <w:r>
        <w:rPr>
          <w:rFonts w:ascii="Times New Roman" w:hAnsi="Times New Roman"/>
        </w:rPr>
        <w:t xml:space="preserve">常熟市发展和改革委员会  </w:t>
      </w:r>
    </w:p>
    <w:p w14:paraId="55B6A061">
      <w:pPr>
        <w:pStyle w:val="3"/>
        <w:tabs>
          <w:tab w:val="left" w:pos="425"/>
        </w:tabs>
        <w:wordWrap w:val="0"/>
        <w:adjustRightInd w:val="0"/>
        <w:snapToGrid w:val="0"/>
        <w:spacing w:line="560" w:lineRule="exact"/>
        <w:jc w:val="right"/>
        <w:rPr>
          <w:rFonts w:ascii="Times New Roman" w:hAnsi="Times New Roman"/>
        </w:rPr>
      </w:pPr>
      <w:r>
        <w:rPr>
          <w:rFonts w:ascii="Times New Roman" w:hAnsi="Times New Roman"/>
        </w:rPr>
        <w:t>202</w:t>
      </w:r>
      <w:r>
        <w:rPr>
          <w:rFonts w:hint="eastAsia" w:ascii="Times New Roman" w:hAnsi="Times New Roman"/>
          <w:lang w:val="en-US" w:eastAsia="zh-CN"/>
        </w:rPr>
        <w:t>6</w:t>
      </w:r>
      <w:r>
        <w:rPr>
          <w:rFonts w:ascii="Times New Roman" w:hAnsi="Times New Roman"/>
        </w:rPr>
        <w:t>年</w:t>
      </w:r>
      <w:r>
        <w:rPr>
          <w:rFonts w:hint="eastAsia" w:ascii="Times New Roman" w:hAnsi="Times New Roman"/>
          <w:lang w:val="en-US" w:eastAsia="zh-CN"/>
        </w:rPr>
        <w:t>1</w:t>
      </w:r>
      <w:r>
        <w:rPr>
          <w:rFonts w:ascii="Times New Roman" w:hAnsi="Times New Roman"/>
        </w:rPr>
        <w:t>月</w:t>
      </w:r>
      <w:r>
        <w:rPr>
          <w:rFonts w:hint="eastAsia" w:ascii="Times New Roman" w:hAnsi="Times New Roman"/>
          <w:lang w:val="en-US" w:eastAsia="zh-CN"/>
        </w:rPr>
        <w:t>29</w:t>
      </w:r>
      <w:r>
        <w:rPr>
          <w:rFonts w:ascii="Times New Roman" w:hAnsi="Times New Roman"/>
        </w:rPr>
        <w:t xml:space="preserve">日    </w:t>
      </w:r>
    </w:p>
    <w:p w14:paraId="43147464">
      <w:pPr>
        <w:rPr>
          <w:rFonts w:ascii="Times New Roman" w:hAnsi="Times New Roman" w:cs="Times New Roman"/>
        </w:rPr>
      </w:pPr>
    </w:p>
    <w:p w14:paraId="5F0784A0">
      <w:pPr>
        <w:rPr>
          <w:rFonts w:ascii="Times New Roman" w:hAnsi="Times New Roman" w:cs="Times New Roman"/>
        </w:rPr>
      </w:pPr>
    </w:p>
    <w:p w14:paraId="23D1DAED">
      <w:pPr>
        <w:rPr>
          <w:rFonts w:ascii="Times New Roman" w:hAnsi="Times New Roman" w:cs="Times New Roman"/>
        </w:rPr>
      </w:pPr>
    </w:p>
    <w:p w14:paraId="65D0821E">
      <w:pPr>
        <w:rPr>
          <w:rFonts w:ascii="Times New Roman" w:hAnsi="Times New Roman" w:cs="Times New Roman"/>
        </w:rPr>
      </w:pPr>
    </w:p>
    <w:p w14:paraId="32D0F213">
      <w:pPr>
        <w:rPr>
          <w:rFonts w:ascii="Times New Roman" w:hAnsi="Times New Roman" w:cs="Times New Roman"/>
        </w:rPr>
      </w:pPr>
    </w:p>
    <w:p w14:paraId="0937BE44">
      <w:pPr>
        <w:rPr>
          <w:rFonts w:ascii="Times New Roman" w:hAnsi="Times New Roman" w:cs="Times New Roman"/>
        </w:rPr>
      </w:pPr>
    </w:p>
    <w:p w14:paraId="3C236476">
      <w:pPr>
        <w:rPr>
          <w:rFonts w:ascii="Times New Roman" w:hAnsi="Times New Roman" w:cs="Times New Roman"/>
        </w:rPr>
      </w:pPr>
    </w:p>
    <w:p w14:paraId="2704C698">
      <w:pPr>
        <w:rPr>
          <w:rFonts w:ascii="Times New Roman" w:hAnsi="Times New Roman" w:cs="Times New Roman"/>
        </w:rPr>
      </w:pPr>
    </w:p>
    <w:p w14:paraId="633DE9E6">
      <w:pPr>
        <w:rPr>
          <w:rFonts w:ascii="Times New Roman" w:hAnsi="Times New Roman" w:cs="Times New Roman"/>
        </w:rPr>
      </w:pPr>
    </w:p>
    <w:p w14:paraId="2248B40C">
      <w:pPr>
        <w:rPr>
          <w:rFonts w:ascii="Times New Roman" w:hAnsi="Times New Roman" w:cs="Times New Roman"/>
        </w:rPr>
      </w:pPr>
    </w:p>
    <w:p w14:paraId="1A86BFB9">
      <w:pPr>
        <w:rPr>
          <w:rFonts w:ascii="Times New Roman" w:hAnsi="Times New Roman" w:cs="Times New Roman"/>
        </w:rPr>
      </w:pPr>
      <w:bookmarkStart w:id="0" w:name="_GoBack"/>
      <w:bookmarkEnd w:id="0"/>
    </w:p>
    <w:p w14:paraId="11B225D8">
      <w:pPr>
        <w:rPr>
          <w:rFonts w:ascii="Times New Roman" w:hAnsi="Times New Roman" w:cs="Times New Roman"/>
        </w:rPr>
      </w:pPr>
    </w:p>
    <w:p w14:paraId="01CCB187">
      <w:pPr>
        <w:rPr>
          <w:rFonts w:ascii="Times New Roman" w:hAnsi="Times New Roman" w:cs="Times New Roman"/>
        </w:rPr>
      </w:pPr>
    </w:p>
    <w:p w14:paraId="2E48DD73">
      <w:pPr>
        <w:rPr>
          <w:rFonts w:ascii="Times New Roman" w:hAnsi="Times New Roman" w:cs="Times New Roman"/>
        </w:rPr>
      </w:pPr>
    </w:p>
    <w:p w14:paraId="75ADCF3C">
      <w:pPr>
        <w:rPr>
          <w:rFonts w:ascii="Times New Roman" w:hAnsi="Times New Roman" w:cs="Times New Roman"/>
        </w:rPr>
      </w:pPr>
    </w:p>
    <w:p w14:paraId="43D23F77">
      <w:pPr>
        <w:rPr>
          <w:rFonts w:ascii="Times New Roman" w:hAnsi="Times New Roman" w:cs="Times New Roman"/>
        </w:rPr>
      </w:pPr>
    </w:p>
    <w:p w14:paraId="3C8EED98">
      <w:pPr>
        <w:rPr>
          <w:rFonts w:hint="eastAsia" w:ascii="Times New Roman" w:hAnsi="Times New Roman" w:cs="Times New Roman"/>
        </w:rPr>
      </w:pPr>
    </w:p>
    <w:p w14:paraId="7F05A2C1">
      <w:pPr>
        <w:rPr>
          <w:rFonts w:ascii="Times New Roman" w:hAnsi="Times New Roman" w:cs="Times New Roman"/>
        </w:rPr>
      </w:pPr>
    </w:p>
    <w:p w14:paraId="3450D7A0">
      <w:pPr>
        <w:rPr>
          <w:rFonts w:ascii="Times New Roman" w:hAnsi="Times New Roman" w:cs="Times New Roman"/>
        </w:rPr>
      </w:pPr>
    </w:p>
    <w:p w14:paraId="7C52F891">
      <w:pPr>
        <w:rPr>
          <w:rFonts w:ascii="Times New Roman" w:hAnsi="Times New Roman" w:cs="Times New Roman"/>
        </w:rPr>
      </w:pPr>
    </w:p>
    <w:p w14:paraId="5037CD32">
      <w:pPr>
        <w:rPr>
          <w:rFonts w:ascii="Times New Roman" w:hAnsi="Times New Roman" w:cs="Times New Roman"/>
        </w:rPr>
      </w:pPr>
    </w:p>
    <w:p w14:paraId="7759B9B4">
      <w:pPr>
        <w:rPr>
          <w:rFonts w:ascii="Times New Roman" w:hAnsi="Times New Roman" w:cs="Times New Roman"/>
        </w:rPr>
      </w:pPr>
    </w:p>
    <w:p w14:paraId="79911354">
      <w:pPr>
        <w:rPr>
          <w:rFonts w:ascii="Times New Roman" w:hAnsi="Times New Roman" w:cs="Times New Roman"/>
        </w:rPr>
      </w:pPr>
    </w:p>
    <w:tbl>
      <w:tblPr>
        <w:tblStyle w:val="8"/>
        <w:tblW w:w="0" w:type="auto"/>
        <w:jc w:val="center"/>
        <w:tblBorders>
          <w:top w:val="single" w:color="auto" w:sz="8"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720"/>
      </w:tblGrid>
      <w:tr w14:paraId="1D3E42AA">
        <w:tblPrEx>
          <w:tblBorders>
            <w:top w:val="single" w:color="auto" w:sz="8"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73" w:hRule="atLeast"/>
          <w:jc w:val="center"/>
        </w:trPr>
        <w:tc>
          <w:tcPr>
            <w:tcW w:w="8720" w:type="dxa"/>
            <w:tcBorders>
              <w:top w:val="single" w:color="auto" w:sz="12" w:space="0"/>
              <w:left w:val="nil"/>
              <w:bottom w:val="single" w:color="auto" w:sz="8" w:space="0"/>
              <w:right w:val="nil"/>
            </w:tcBorders>
            <w:vAlign w:val="center"/>
          </w:tcPr>
          <w:p w14:paraId="039A02A7">
            <w:pPr>
              <w:spacing w:line="480" w:lineRule="exact"/>
              <w:ind w:left="978" w:leftChars="100" w:hanging="768" w:hangingChars="300"/>
              <w:rPr>
                <w:rFonts w:ascii="仿宋_GB2312" w:eastAsia="仿宋_GB2312"/>
                <w:sz w:val="28"/>
                <w:szCs w:val="28"/>
              </w:rPr>
            </w:pPr>
            <w:r>
              <w:rPr>
                <w:rFonts w:hint="eastAsia" w:ascii="仿宋_GB2312" w:eastAsia="仿宋_GB2312"/>
                <w:spacing w:val="-12"/>
                <w:sz w:val="28"/>
                <w:szCs w:val="28"/>
              </w:rPr>
              <w:t>抄送：江苏省发改委，苏州发改委，常熟市府办，各镇人民政府，各街道办事处，常熟经济技术开发区，常熟高新技术产业开发区，虞山高新区（筹），市工信局、市财政局（国资办）、市住建局、市市场监管局、市城投公司。</w:t>
            </w:r>
          </w:p>
        </w:tc>
      </w:tr>
      <w:tr w14:paraId="0649994A">
        <w:tblPrEx>
          <w:tblBorders>
            <w:top w:val="single" w:color="auto" w:sz="8"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720" w:type="dxa"/>
            <w:tcBorders>
              <w:top w:val="single" w:color="auto" w:sz="8" w:space="0"/>
              <w:left w:val="nil"/>
              <w:bottom w:val="single" w:color="auto" w:sz="12" w:space="0"/>
              <w:right w:val="nil"/>
            </w:tcBorders>
            <w:vAlign w:val="center"/>
          </w:tcPr>
          <w:p w14:paraId="7D1C1DD6">
            <w:pPr>
              <w:spacing w:line="480" w:lineRule="exact"/>
              <w:ind w:right="-2" w:rightChars="-1" w:firstLine="280" w:firstLineChars="100"/>
              <w:rPr>
                <w:rFonts w:ascii="仿宋" w:hAnsi="仿宋" w:eastAsia="仿宋"/>
                <w:sz w:val="28"/>
                <w:szCs w:val="28"/>
              </w:rPr>
            </w:pPr>
            <w:r>
              <w:rPr>
                <w:rFonts w:hint="eastAsia" w:ascii="Times New Roman" w:hAnsi="Times New Roman" w:eastAsia="仿宋_GB2312" w:cs="Times New Roman"/>
                <w:sz w:val="28"/>
                <w:szCs w:val="28"/>
              </w:rPr>
              <w:t>常熟市发展和改革委员会                 202</w:t>
            </w:r>
            <w:r>
              <w:rPr>
                <w:rFonts w:hint="eastAsia" w:ascii="Times New Roman" w:hAnsi="Times New Roman" w:eastAsia="仿宋_GB2312" w:cs="Times New Roman"/>
                <w:sz w:val="28"/>
                <w:szCs w:val="28"/>
                <w:lang w:val="en-US" w:eastAsia="zh-CN"/>
              </w:rPr>
              <w:t>6</w:t>
            </w:r>
            <w:r>
              <w:rPr>
                <w:rFonts w:hint="eastAsia" w:ascii="Times New Roman" w:hAnsi="Times New Roman" w:eastAsia="仿宋_GB2312" w:cs="Times New Roman"/>
                <w:sz w:val="28"/>
                <w:szCs w:val="28"/>
              </w:rPr>
              <w:t>年</w:t>
            </w:r>
            <w:r>
              <w:rPr>
                <w:rFonts w:hint="eastAsia" w:ascii="Times New Roman" w:hAnsi="Times New Roman" w:eastAsia="仿宋_GB2312" w:cs="Times New Roman"/>
                <w:sz w:val="28"/>
                <w:szCs w:val="28"/>
                <w:lang w:val="en-US" w:eastAsia="zh-CN"/>
              </w:rPr>
              <w:t>1</w:t>
            </w:r>
            <w:r>
              <w:rPr>
                <w:rFonts w:hint="eastAsia" w:ascii="Times New Roman" w:hAnsi="Times New Roman" w:eastAsia="仿宋_GB2312" w:cs="Times New Roman"/>
                <w:sz w:val="28"/>
                <w:szCs w:val="28"/>
              </w:rPr>
              <w:t>月</w:t>
            </w:r>
            <w:r>
              <w:rPr>
                <w:rFonts w:hint="eastAsia" w:ascii="Times New Roman" w:hAnsi="Times New Roman" w:eastAsia="仿宋_GB2312" w:cs="Times New Roman"/>
                <w:sz w:val="28"/>
                <w:szCs w:val="28"/>
                <w:lang w:val="en-US" w:eastAsia="zh-CN"/>
              </w:rPr>
              <w:t>29</w:t>
            </w:r>
            <w:r>
              <w:rPr>
                <w:rFonts w:hint="eastAsia" w:ascii="Times New Roman" w:hAnsi="Times New Roman" w:eastAsia="仿宋_GB2312" w:cs="Times New Roman"/>
                <w:sz w:val="28"/>
                <w:szCs w:val="28"/>
              </w:rPr>
              <w:t>日印发</w:t>
            </w:r>
          </w:p>
        </w:tc>
      </w:tr>
    </w:tbl>
    <w:p w14:paraId="24338C6C">
      <w:pPr>
        <w:rPr>
          <w:rFonts w:ascii="Times New Roman" w:hAnsi="Times New Roman" w:cs="Times New Roman"/>
        </w:rPr>
      </w:pPr>
    </w:p>
    <w:sectPr>
      <w:headerReference r:id="rId5" w:type="first"/>
      <w:footerReference r:id="rId8" w:type="first"/>
      <w:headerReference r:id="rId3" w:type="default"/>
      <w:footerReference r:id="rId6" w:type="default"/>
      <w:headerReference r:id="rId4" w:type="even"/>
      <w:footerReference r:id="rId7" w:type="even"/>
      <w:pgSz w:w="11906" w:h="16838"/>
      <w:pgMar w:top="2041" w:right="1474" w:bottom="1985" w:left="1588" w:header="851" w:footer="1701"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CBC6D">
    <w:pPr>
      <w:pStyle w:val="5"/>
      <w:wordWrap w:val="0"/>
      <w:jc w:val="right"/>
      <w:rPr>
        <w:rFonts w:ascii="宋体" w:hAnsi="宋体"/>
        <w:sz w:val="28"/>
        <w:szCs w:val="28"/>
      </w:rPr>
    </w:pPr>
    <w:r>
      <w:rPr>
        <w:rFonts w:hint="eastAsia" w:ascii="宋体" w:hAnsi="宋体"/>
        <w:sz w:val="28"/>
        <w:szCs w:val="28"/>
      </w:rPr>
      <w:t>—</w:t>
    </w: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5E1A6">
    <w:pPr>
      <w:pStyle w:val="5"/>
      <w:rPr>
        <w:rFonts w:ascii="宋体" w:hAnsi="宋体"/>
        <w:sz w:val="28"/>
        <w:szCs w:val="28"/>
      </w:rPr>
    </w:pPr>
    <w:r>
      <w:rPr>
        <w:rFonts w:hint="eastAsia" w:ascii="宋体" w:hAnsi="宋体"/>
        <w:sz w:val="28"/>
        <w:szCs w:val="28"/>
      </w:rPr>
      <w:t>—</w:t>
    </w: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97D85">
    <w:pPr>
      <w:pStyle w:val="5"/>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0DC41">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06C4B">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38BBB">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kNjFlNmY2NmVlMzk5Njg2MjU3ZDkxNjYwOTFjZGQifQ=="/>
  </w:docVars>
  <w:rsids>
    <w:rsidRoot w:val="00152AE6"/>
    <w:rsid w:val="0001732F"/>
    <w:rsid w:val="000838B8"/>
    <w:rsid w:val="00112BF3"/>
    <w:rsid w:val="00152AE6"/>
    <w:rsid w:val="0022169E"/>
    <w:rsid w:val="00230349"/>
    <w:rsid w:val="00257A3A"/>
    <w:rsid w:val="00293358"/>
    <w:rsid w:val="002A49A5"/>
    <w:rsid w:val="002D54AF"/>
    <w:rsid w:val="00366AFE"/>
    <w:rsid w:val="00367C33"/>
    <w:rsid w:val="00383ACB"/>
    <w:rsid w:val="00383BF4"/>
    <w:rsid w:val="003B57B8"/>
    <w:rsid w:val="003C2A6E"/>
    <w:rsid w:val="003E5346"/>
    <w:rsid w:val="004021A6"/>
    <w:rsid w:val="004067CA"/>
    <w:rsid w:val="00427384"/>
    <w:rsid w:val="00445843"/>
    <w:rsid w:val="004F2277"/>
    <w:rsid w:val="0055510C"/>
    <w:rsid w:val="00630304"/>
    <w:rsid w:val="00685547"/>
    <w:rsid w:val="006906BB"/>
    <w:rsid w:val="006C095B"/>
    <w:rsid w:val="006E50AE"/>
    <w:rsid w:val="00705148"/>
    <w:rsid w:val="007312DF"/>
    <w:rsid w:val="007529BC"/>
    <w:rsid w:val="0083682B"/>
    <w:rsid w:val="00865787"/>
    <w:rsid w:val="0086735B"/>
    <w:rsid w:val="00877F06"/>
    <w:rsid w:val="00884CA4"/>
    <w:rsid w:val="008D75D2"/>
    <w:rsid w:val="009D1AF8"/>
    <w:rsid w:val="00A07446"/>
    <w:rsid w:val="00A12E97"/>
    <w:rsid w:val="00A415AD"/>
    <w:rsid w:val="00A44EB8"/>
    <w:rsid w:val="00A536C0"/>
    <w:rsid w:val="00A61306"/>
    <w:rsid w:val="00A675B1"/>
    <w:rsid w:val="00B459FC"/>
    <w:rsid w:val="00B720CA"/>
    <w:rsid w:val="00B9189D"/>
    <w:rsid w:val="00C00862"/>
    <w:rsid w:val="00C37482"/>
    <w:rsid w:val="00C71ADD"/>
    <w:rsid w:val="00DA6E4C"/>
    <w:rsid w:val="00DB7D98"/>
    <w:rsid w:val="00E1377B"/>
    <w:rsid w:val="00E167C4"/>
    <w:rsid w:val="00E5758C"/>
    <w:rsid w:val="00EB206F"/>
    <w:rsid w:val="00EF5AF9"/>
    <w:rsid w:val="00F27232"/>
    <w:rsid w:val="00F27BC6"/>
    <w:rsid w:val="00F74DC2"/>
    <w:rsid w:val="00FD04F5"/>
    <w:rsid w:val="15B84F97"/>
    <w:rsid w:val="181D560E"/>
    <w:rsid w:val="2FF104DC"/>
    <w:rsid w:val="3B720492"/>
    <w:rsid w:val="595542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1"/>
    <w:link w:val="14"/>
    <w:uiPriority w:val="0"/>
    <w:rPr>
      <w:rFonts w:ascii="Times New Roman" w:hAnsi="Times New Roman" w:eastAsia="仿宋_GB2312" w:cs="Times New Roman"/>
      <w:sz w:val="32"/>
      <w:szCs w:val="20"/>
    </w:rPr>
  </w:style>
  <w:style w:type="paragraph" w:styleId="3">
    <w:name w:val="Body Text Indent 2"/>
    <w:basedOn w:val="1"/>
    <w:link w:val="12"/>
    <w:uiPriority w:val="0"/>
    <w:pPr>
      <w:tabs>
        <w:tab w:val="left" w:pos="7020"/>
      </w:tabs>
      <w:spacing w:line="400" w:lineRule="exact"/>
      <w:ind w:firstLine="640" w:firstLineChars="200"/>
    </w:pPr>
    <w:rPr>
      <w:rFonts w:ascii="仿宋_GB2312" w:hAnsi="宋体" w:eastAsia="仿宋_GB2312" w:cs="Times New Roman"/>
      <w:sz w:val="32"/>
    </w:rPr>
  </w:style>
  <w:style w:type="paragraph" w:styleId="4">
    <w:name w:val="Balloon Text"/>
    <w:basedOn w:val="1"/>
    <w:link w:val="15"/>
    <w:uiPriority w:val="0"/>
    <w:rPr>
      <w:sz w:val="18"/>
      <w:szCs w:val="18"/>
    </w:rPr>
  </w:style>
  <w:style w:type="paragraph" w:styleId="5">
    <w:name w:val="footer"/>
    <w:basedOn w:val="1"/>
    <w:link w:val="13"/>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6">
    <w:name w:val="header"/>
    <w:basedOn w:val="1"/>
    <w:link w:val="11"/>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7">
    <w:name w:val="Normal (Web)"/>
    <w:basedOn w:val="1"/>
    <w:uiPriority w:val="0"/>
    <w:pPr>
      <w:spacing w:beforeAutospacing="1" w:afterAutospacing="1"/>
      <w:jc w:val="left"/>
    </w:pPr>
    <w:rPr>
      <w:rFonts w:cs="Times New Roman"/>
      <w:kern w:val="0"/>
      <w:sz w:val="24"/>
    </w:rPr>
  </w:style>
  <w:style w:type="character" w:styleId="10">
    <w:name w:val="Strong"/>
    <w:basedOn w:val="9"/>
    <w:qFormat/>
    <w:uiPriority w:val="0"/>
    <w:rPr>
      <w:b/>
    </w:rPr>
  </w:style>
  <w:style w:type="character" w:customStyle="1" w:styleId="11">
    <w:name w:val="页眉 Char"/>
    <w:basedOn w:val="9"/>
    <w:link w:val="6"/>
    <w:uiPriority w:val="99"/>
    <w:rPr>
      <w:kern w:val="2"/>
      <w:sz w:val="18"/>
      <w:szCs w:val="18"/>
    </w:rPr>
  </w:style>
  <w:style w:type="character" w:customStyle="1" w:styleId="12">
    <w:name w:val="正文文本缩进 2 Char"/>
    <w:basedOn w:val="9"/>
    <w:link w:val="3"/>
    <w:uiPriority w:val="0"/>
    <w:rPr>
      <w:rFonts w:ascii="仿宋_GB2312" w:hAnsi="宋体" w:eastAsia="仿宋_GB2312"/>
      <w:kern w:val="2"/>
      <w:sz w:val="32"/>
      <w:szCs w:val="24"/>
    </w:rPr>
  </w:style>
  <w:style w:type="character" w:customStyle="1" w:styleId="13">
    <w:name w:val="页脚 Char"/>
    <w:basedOn w:val="9"/>
    <w:link w:val="5"/>
    <w:uiPriority w:val="99"/>
    <w:rPr>
      <w:kern w:val="2"/>
      <w:sz w:val="18"/>
      <w:szCs w:val="18"/>
    </w:rPr>
  </w:style>
  <w:style w:type="character" w:customStyle="1" w:styleId="14">
    <w:name w:val="正文文本 Char"/>
    <w:basedOn w:val="9"/>
    <w:link w:val="2"/>
    <w:uiPriority w:val="0"/>
    <w:rPr>
      <w:rFonts w:eastAsia="仿宋_GB2312"/>
      <w:kern w:val="2"/>
      <w:sz w:val="32"/>
    </w:rPr>
  </w:style>
  <w:style w:type="character" w:customStyle="1" w:styleId="15">
    <w:name w:val="批注框文本 Char"/>
    <w:basedOn w:val="9"/>
    <w:link w:val="4"/>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3</Pages>
  <Words>808</Words>
  <Characters>853</Characters>
  <Lines>6</Lines>
  <Paragraphs>1</Paragraphs>
  <TotalTime>219</TotalTime>
  <ScaleCrop>false</ScaleCrop>
  <LinksUpToDate>false</LinksUpToDate>
  <CharactersWithSpaces>876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2023-07-11T01:47:00Z</dcterms:created>
  <dc:creator>guqiang</dc:creator>
  <cp:lastModifiedBy>柠萌侠</cp:lastModifiedBy>
  <cp:lastPrinted>2026-01-29T06:09:03Z</cp:lastPrinted>
  <dcterms:modified xsi:type="dcterms:W3CDTF">2026-01-29T06:12:26Z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DAA20114050F4128B68FE95CB22A7160_12</vt:lpwstr>
  </property>
  <property fmtid="{D5CDD505-2E9C-101B-9397-08002B2CF9AE}" pid="4" name="KSOTemplateDocerSaveRecord">
    <vt:lpwstr>eyJoZGlkIjoiOWMwMTY1ZWJiODBlZTk4M2NhYzIxYmMxYzQ3MzI1YjAiLCJ1c2VySWQiOiIzMjE1ODUzMTcifQ==</vt:lpwstr>
  </property>
</Properties>
</file>