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苏州巨友新能源科技有限公司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“10·20”一般机械伤害事故调查报告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苏州巨友新能源科技有限公司（位于常福街道）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发生一起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机械</w:t>
      </w:r>
      <w:r>
        <w:rPr>
          <w:rFonts w:hint="eastAsia" w:ascii="仿宋_GB2312" w:hAnsi="仿宋_GB2312" w:eastAsia="仿宋_GB2312" w:cs="仿宋_GB2312"/>
          <w:sz w:val="32"/>
          <w:szCs w:val="32"/>
        </w:rPr>
        <w:t>伤害事故，致一人死亡，造成直接经济损失约人民币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根据《生产安全事故报告和</w:t>
      </w:r>
      <w:bookmarkStart w:id="11" w:name="_GoBack"/>
      <w:bookmarkEnd w:id="11"/>
      <w:r>
        <w:rPr>
          <w:rFonts w:hint="eastAsia" w:ascii="仿宋_GB2312" w:hAnsi="仿宋_GB2312" w:eastAsia="仿宋_GB2312" w:cs="仿宋_GB2312"/>
          <w:sz w:val="32"/>
          <w:szCs w:val="32"/>
        </w:rPr>
        <w:t>调查处理条例》（国务院令493号）第十九条规定，常熟市人民政府成立了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”一般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机械</w:t>
      </w:r>
      <w:r>
        <w:rPr>
          <w:rFonts w:hint="eastAsia" w:ascii="仿宋_GB2312" w:hAnsi="仿宋_GB2312" w:eastAsia="仿宋_GB2312" w:cs="仿宋_GB2312"/>
          <w:sz w:val="32"/>
          <w:szCs w:val="32"/>
        </w:rPr>
        <w:t>伤害事故调查组（以下简称：事故调查组），事故调查组由市应急局、市公安局、市总工会、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常福街道办事处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相关人员组成，并邀请市纪委监委派员参加。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事故调查组按照“四不放过”和“科学严谨、依法依规、实事求是、注重实效”的原则，通过现场勘验、调查取证，查明了事故发生的经过、原因、人员伤亡和直接经济损失情况，认定了事故性质和责任。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经调查认定，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”一般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机械</w:t>
      </w:r>
      <w:r>
        <w:rPr>
          <w:rFonts w:hint="eastAsia" w:ascii="仿宋_GB2312" w:hAnsi="仿宋_GB2312" w:eastAsia="仿宋_GB2312" w:cs="仿宋_GB2312"/>
          <w:sz w:val="32"/>
          <w:szCs w:val="32"/>
        </w:rPr>
        <w:t>伤害事故是一起因工人违章作业造成的一般生产安全责任事故。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一、单位概况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巨友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公司”）成立于20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日，法定代表人为汤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91320581MA25T25HX0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常熟市常福街道阳光大道58号，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经营范围包括塑料制品制造；光伏设备及元器件制造；电子专用材料制造；橡胶制品制造；新材料技术研发；高品质合成橡胶销售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5147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二、事故发生经过</w:t>
      </w:r>
      <w:bookmarkEnd w:id="0"/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2023年10月20日10时许，生产部冯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三人在预混胶密炼室二层内开始密炼作业，11时许密炼结束，混合槽开始自动倒料，此时邵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至车间一层进行接料。11时06分许倒料结束后，王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操作密炼机将混合槽回正，此时设备处于自动模式，在防尘罩下降过程中，王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将头部伸入密炼机混合槽上方，颈部被防尘罩夹住。</w:t>
      </w:r>
      <w:bookmarkStart w:id="1" w:name="_Toc32319"/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2" w:name="_Toc1180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三、人员伤亡和直接经济损失情况</w:t>
      </w:r>
      <w:bookmarkEnd w:id="2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”一般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机械</w:t>
      </w:r>
      <w:r>
        <w:rPr>
          <w:rFonts w:hint="eastAsia" w:ascii="仿宋_GB2312" w:hAnsi="仿宋_GB2312" w:eastAsia="仿宋_GB2312" w:cs="仿宋_GB2312"/>
          <w:sz w:val="32"/>
          <w:szCs w:val="32"/>
        </w:rPr>
        <w:t>伤害事故造成1人死亡，无人受伤。死者情况如下：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岁，身份证号码：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3205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**********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4315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，住址：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江苏省苏州市常熟市海虞镇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********************，</w:t>
      </w:r>
      <w:r>
        <w:rPr>
          <w:rFonts w:ascii="仿宋_GB2312" w:hAnsi="仿宋_GB2312" w:eastAsia="仿宋_GB2312" w:cs="仿宋_GB2312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造成</w:t>
      </w:r>
      <w:r>
        <w:rPr>
          <w:rFonts w:ascii="仿宋_GB2312" w:hAnsi="仿宋_GB2312" w:eastAsia="仿宋_GB2312" w:cs="仿宋_GB2312"/>
          <w:sz w:val="32"/>
          <w:szCs w:val="32"/>
        </w:rPr>
        <w:t>直接经济损失约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178</w:t>
      </w:r>
      <w:r>
        <w:rPr>
          <w:rFonts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3" w:name="_Toc4407"/>
      <w:bookmarkStart w:id="4" w:name="_Toc8506"/>
      <w:bookmarkStart w:id="5" w:name="_Toc12143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四、事故原因分析</w:t>
      </w:r>
      <w:bookmarkEnd w:id="3"/>
      <w:bookmarkEnd w:id="4"/>
      <w:bookmarkEnd w:id="5"/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直接原因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王某进行密炼作业时违反安全操作规程，在密炼机防尘罩关闭过程中冒险将头部伸入混合槽上方，被防尘罩挤压致死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间接原因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苏州巨友新能源科技有限公司疏于密炼作业安全生产管理工作，未及时发现并消除密炼机混料作业过程中存在的生产安全事故隐患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苏州巨友新能源科技有限公司对密炼工人安全教育培训不到位，员工安全意识淡薄。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苏州巨友新能源科技有限公司疏于生产作业现场巡查工作，未及时发现并制止工人的违章作业行为。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6" w:name="_Toc25906"/>
      <w:bookmarkStart w:id="7" w:name="_Toc389"/>
      <w:bookmarkStart w:id="8" w:name="_Toc2201"/>
      <w:bookmarkStart w:id="9" w:name="_Toc906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五、对有关责任人员和责任单位的处理建议</w:t>
      </w:r>
      <w:bookmarkEnd w:id="6"/>
      <w:bookmarkEnd w:id="7"/>
      <w:bookmarkEnd w:id="8"/>
    </w:p>
    <w:p>
      <w:pPr>
        <w:numPr>
          <w:ilvl w:val="0"/>
          <w:numId w:val="0"/>
        </w:numPr>
        <w:spacing w:line="560" w:lineRule="exact"/>
        <w:ind w:firstLine="640" w:firstLineChars="200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对有关责任人员的处理建议</w:t>
      </w:r>
      <w:bookmarkEnd w:id="9"/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汤某，男，46岁，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苏州巨友新能源科技有限公司总经理，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疏于对作业现场安全管理，未督促、检查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作业现场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安全生产管理工作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未及时消除密炼作业存在的事故隐患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导致发生生产安全事故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建议由常熟市应急管理局依据《中华人民共和国安全生产法》第九十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条对其作出行政处罚。</w:t>
      </w:r>
    </w:p>
    <w:p>
      <w:pPr>
        <w:numPr>
          <w:ilvl w:val="0"/>
          <w:numId w:val="0"/>
        </w:numPr>
        <w:spacing w:line="560" w:lineRule="exact"/>
        <w:ind w:firstLine="640" w:firstLineChars="200"/>
        <w:outlineLvl w:val="0"/>
        <w:rPr>
          <w:rFonts w:ascii="楷体_GB2312" w:hAnsi="楷体_GB2312" w:eastAsia="楷体_GB2312" w:cs="楷体_GB2312"/>
          <w:sz w:val="32"/>
          <w:szCs w:val="32"/>
        </w:rPr>
      </w:pPr>
      <w:bookmarkStart w:id="10" w:name="_Toc17415"/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对有关责任单位的处理建议</w:t>
      </w:r>
      <w:bookmarkEnd w:id="1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疏于作业现场安全管理，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未消除事故现场存在的安全隐患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，对事故的发生负有责任，建议由常熟市应急管理局依据《中华人民共和国安全生产法》第一百一十四条规定对其作出行政处罚。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六、事故主要教训和事故防范、整改措施建议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要深刻吸取事故教训，严格落实企业安全生产主体责任，加强密炼作业安全生产管理，保证密炼设施安全设备的正常工作，提升密炼设施的本质安全；要加强员工安全教育培训，提升员工安全意识，加强生产作业现场巡查工作，及时发现并制止员工违章作业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常福街道要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认真吸取事故教训，举一反三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，及时督促辖区内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同类型企业和使用同类设备企业的监督执法和警示教育，预防类似事故再次发生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苏州巨友新能源科技有限公司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机械</w:t>
      </w:r>
      <w:r>
        <w:rPr>
          <w:rFonts w:hint="eastAsia" w:ascii="仿宋_GB2312" w:hAnsi="仿宋_GB2312" w:eastAsia="仿宋_GB2312" w:cs="仿宋_GB2312"/>
          <w:sz w:val="32"/>
          <w:szCs w:val="32"/>
        </w:rPr>
        <w:t>伤害事故调查组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2023年12月22日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ZTFkYTVjOTA5YzkzYjZkNzBlNmIxY2M3NGNiMzcifQ=="/>
  </w:docVars>
  <w:rsids>
    <w:rsidRoot w:val="12B961C9"/>
    <w:rsid w:val="00044A6B"/>
    <w:rsid w:val="00142F5C"/>
    <w:rsid w:val="005F34CD"/>
    <w:rsid w:val="00875E46"/>
    <w:rsid w:val="00B21E75"/>
    <w:rsid w:val="00CB059F"/>
    <w:rsid w:val="00F10117"/>
    <w:rsid w:val="02076BAD"/>
    <w:rsid w:val="02B81777"/>
    <w:rsid w:val="03987D09"/>
    <w:rsid w:val="05872512"/>
    <w:rsid w:val="08075E9C"/>
    <w:rsid w:val="0A62540F"/>
    <w:rsid w:val="0AEE2CDA"/>
    <w:rsid w:val="0B4921D1"/>
    <w:rsid w:val="0B661144"/>
    <w:rsid w:val="0D0A78C0"/>
    <w:rsid w:val="0D3E4652"/>
    <w:rsid w:val="0E791598"/>
    <w:rsid w:val="0EA22E3F"/>
    <w:rsid w:val="0FED0268"/>
    <w:rsid w:val="10212707"/>
    <w:rsid w:val="11FD5E74"/>
    <w:rsid w:val="12315385"/>
    <w:rsid w:val="12980D80"/>
    <w:rsid w:val="12B961C9"/>
    <w:rsid w:val="13397C61"/>
    <w:rsid w:val="15B42303"/>
    <w:rsid w:val="16E723F1"/>
    <w:rsid w:val="17601230"/>
    <w:rsid w:val="187E223F"/>
    <w:rsid w:val="18F7519C"/>
    <w:rsid w:val="19812B60"/>
    <w:rsid w:val="1991425E"/>
    <w:rsid w:val="199217E2"/>
    <w:rsid w:val="1B1170AB"/>
    <w:rsid w:val="1BEE1FA3"/>
    <w:rsid w:val="1C4B5C2A"/>
    <w:rsid w:val="1D717880"/>
    <w:rsid w:val="1DC75181"/>
    <w:rsid w:val="1EB81CBD"/>
    <w:rsid w:val="1ED957FE"/>
    <w:rsid w:val="208A4B48"/>
    <w:rsid w:val="20963837"/>
    <w:rsid w:val="20AC4ABE"/>
    <w:rsid w:val="229D06B1"/>
    <w:rsid w:val="236C5E61"/>
    <w:rsid w:val="23820C07"/>
    <w:rsid w:val="2449701B"/>
    <w:rsid w:val="25CA2682"/>
    <w:rsid w:val="266C0B08"/>
    <w:rsid w:val="288547BF"/>
    <w:rsid w:val="28A92F15"/>
    <w:rsid w:val="28E86EA3"/>
    <w:rsid w:val="28F455C4"/>
    <w:rsid w:val="290D24D7"/>
    <w:rsid w:val="297E7696"/>
    <w:rsid w:val="2A3168FF"/>
    <w:rsid w:val="2BA03311"/>
    <w:rsid w:val="2C007918"/>
    <w:rsid w:val="2C390A41"/>
    <w:rsid w:val="2C596AF4"/>
    <w:rsid w:val="2C9C1E8B"/>
    <w:rsid w:val="2CAA691D"/>
    <w:rsid w:val="2CBC0E10"/>
    <w:rsid w:val="2D626B87"/>
    <w:rsid w:val="2DC31699"/>
    <w:rsid w:val="2FE46C3D"/>
    <w:rsid w:val="30991ECE"/>
    <w:rsid w:val="30D15ACC"/>
    <w:rsid w:val="31345A88"/>
    <w:rsid w:val="3150398C"/>
    <w:rsid w:val="3249276E"/>
    <w:rsid w:val="328E2276"/>
    <w:rsid w:val="32981347"/>
    <w:rsid w:val="32A00E62"/>
    <w:rsid w:val="3346208E"/>
    <w:rsid w:val="341B55A6"/>
    <w:rsid w:val="34330352"/>
    <w:rsid w:val="3594253E"/>
    <w:rsid w:val="35D01B4B"/>
    <w:rsid w:val="35F018F9"/>
    <w:rsid w:val="38F82C23"/>
    <w:rsid w:val="38FB7A69"/>
    <w:rsid w:val="391C78D1"/>
    <w:rsid w:val="393B44F8"/>
    <w:rsid w:val="39B7532B"/>
    <w:rsid w:val="3AEC0481"/>
    <w:rsid w:val="3C077675"/>
    <w:rsid w:val="3DC37D1E"/>
    <w:rsid w:val="3E84358E"/>
    <w:rsid w:val="3F0D4A2B"/>
    <w:rsid w:val="40744216"/>
    <w:rsid w:val="41E07A3F"/>
    <w:rsid w:val="42693DED"/>
    <w:rsid w:val="43000993"/>
    <w:rsid w:val="43FB1FD6"/>
    <w:rsid w:val="448C10D7"/>
    <w:rsid w:val="44D30B0A"/>
    <w:rsid w:val="452C2797"/>
    <w:rsid w:val="45650ADD"/>
    <w:rsid w:val="45D75468"/>
    <w:rsid w:val="45E70925"/>
    <w:rsid w:val="45EB778E"/>
    <w:rsid w:val="47D23D51"/>
    <w:rsid w:val="48A30F9C"/>
    <w:rsid w:val="48BD50B1"/>
    <w:rsid w:val="4B1164B6"/>
    <w:rsid w:val="4BDC6EAE"/>
    <w:rsid w:val="4C2004D2"/>
    <w:rsid w:val="4CB607DA"/>
    <w:rsid w:val="4CD162CF"/>
    <w:rsid w:val="4D7D70C7"/>
    <w:rsid w:val="4E025B5D"/>
    <w:rsid w:val="505C2FF8"/>
    <w:rsid w:val="511A58F1"/>
    <w:rsid w:val="5290185C"/>
    <w:rsid w:val="54121483"/>
    <w:rsid w:val="559C63C1"/>
    <w:rsid w:val="563001AE"/>
    <w:rsid w:val="56435A00"/>
    <w:rsid w:val="56783191"/>
    <w:rsid w:val="56C975C8"/>
    <w:rsid w:val="56FD6C4D"/>
    <w:rsid w:val="584A41AE"/>
    <w:rsid w:val="59916DFD"/>
    <w:rsid w:val="59B95B8B"/>
    <w:rsid w:val="59E21C1C"/>
    <w:rsid w:val="5A010C64"/>
    <w:rsid w:val="5A177F6E"/>
    <w:rsid w:val="5BBF7B66"/>
    <w:rsid w:val="5BE54D4D"/>
    <w:rsid w:val="5CE54491"/>
    <w:rsid w:val="5DA54B0D"/>
    <w:rsid w:val="5E051472"/>
    <w:rsid w:val="5E165A3E"/>
    <w:rsid w:val="5E685499"/>
    <w:rsid w:val="5E6B4B76"/>
    <w:rsid w:val="5F3C686D"/>
    <w:rsid w:val="5F603436"/>
    <w:rsid w:val="5F982C4E"/>
    <w:rsid w:val="5FAE5456"/>
    <w:rsid w:val="60ED1593"/>
    <w:rsid w:val="61FA188C"/>
    <w:rsid w:val="623F2E8F"/>
    <w:rsid w:val="634B3026"/>
    <w:rsid w:val="638D1ED6"/>
    <w:rsid w:val="64E86554"/>
    <w:rsid w:val="64F06ACD"/>
    <w:rsid w:val="681B672C"/>
    <w:rsid w:val="68884B4B"/>
    <w:rsid w:val="6BC74F07"/>
    <w:rsid w:val="6C2A40F5"/>
    <w:rsid w:val="6EAE0DBF"/>
    <w:rsid w:val="6EF05265"/>
    <w:rsid w:val="6EF94940"/>
    <w:rsid w:val="70566CE4"/>
    <w:rsid w:val="715D720F"/>
    <w:rsid w:val="71E0249D"/>
    <w:rsid w:val="722661C2"/>
    <w:rsid w:val="72427849"/>
    <w:rsid w:val="74DA0D6F"/>
    <w:rsid w:val="75C95313"/>
    <w:rsid w:val="76821E07"/>
    <w:rsid w:val="76C00BDA"/>
    <w:rsid w:val="76FD6F97"/>
    <w:rsid w:val="77BC6142"/>
    <w:rsid w:val="7801298E"/>
    <w:rsid w:val="780C5D54"/>
    <w:rsid w:val="79395CE7"/>
    <w:rsid w:val="79563B8F"/>
    <w:rsid w:val="795F1398"/>
    <w:rsid w:val="79D77E97"/>
    <w:rsid w:val="79D82729"/>
    <w:rsid w:val="7AEC3EEC"/>
    <w:rsid w:val="7CA35EEB"/>
    <w:rsid w:val="7D2B3B28"/>
    <w:rsid w:val="7D693383"/>
    <w:rsid w:val="7D98504D"/>
    <w:rsid w:val="7DDD7D69"/>
    <w:rsid w:val="7E49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autoRedefine/>
    <w:qFormat/>
    <w:uiPriority w:val="0"/>
  </w:style>
  <w:style w:type="paragraph" w:styleId="6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7">
    <w:name w:val="toc 2"/>
    <w:basedOn w:val="1"/>
    <w:next w:val="1"/>
    <w:autoRedefine/>
    <w:qFormat/>
    <w:uiPriority w:val="0"/>
    <w:pPr>
      <w:ind w:left="420" w:leftChars="200"/>
    </w:p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styleId="14">
    <w:name w:val="footnote reference"/>
    <w:basedOn w:val="11"/>
    <w:autoRedefine/>
    <w:qFormat/>
    <w:uiPriority w:val="0"/>
    <w:rPr>
      <w:vertAlign w:val="superscript"/>
    </w:rPr>
  </w:style>
  <w:style w:type="character" w:customStyle="1" w:styleId="15">
    <w:name w:val="批注框文本 Char"/>
    <w:basedOn w:val="11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4018</Words>
  <Characters>4311</Characters>
  <Lines>36</Lines>
  <Paragraphs>10</Paragraphs>
  <TotalTime>0</TotalTime>
  <ScaleCrop>false</ScaleCrop>
  <LinksUpToDate>false</LinksUpToDate>
  <CharactersWithSpaces>4387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2023-05-23T02:11:00Z</dcterms:created>
  <dc:creator>獨</dc:creator>
  <cp:lastModifiedBy>lxhh</cp:lastModifiedBy>
  <dcterms:modified xsi:type="dcterms:W3CDTF">2024-04-12T08:37:45Z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C2904C8601DA4CFEA2210A130CD8C33D_13</vt:lpwstr>
  </property>
</Properties>
</file>