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val="0"/>
        <w:autoSpaceDN w:val="0"/>
        <w:bidi w:val="0"/>
        <w:adjustRightInd/>
        <w:snapToGrid/>
        <w:spacing w:line="540" w:lineRule="exact"/>
        <w:ind w:right="1613"/>
        <w:jc w:val="center"/>
        <w:textAlignment w:val="auto"/>
      </w:pPr>
      <w:r>
        <w:rPr>
          <w:rFonts w:hint="eastAsia"/>
          <w:lang w:val="en-US" w:eastAsia="zh-CN"/>
        </w:rPr>
        <w:t xml:space="preserve">   </w:t>
      </w:r>
      <w:r>
        <w:t>市人力资源和社会保障局</w:t>
      </w:r>
    </w:p>
    <w:p>
      <w:pPr>
        <w:pStyle w:val="2"/>
        <w:keepNext w:val="0"/>
        <w:keepLines w:val="0"/>
        <w:pageBreakBefore w:val="0"/>
        <w:widowControl w:val="0"/>
        <w:kinsoku/>
        <w:wordWrap/>
        <w:overflowPunct/>
        <w:topLinePunct w:val="0"/>
        <w:autoSpaceDE w:val="0"/>
        <w:autoSpaceDN w:val="0"/>
        <w:bidi w:val="0"/>
        <w:adjustRightInd/>
        <w:snapToGrid/>
        <w:spacing w:line="540" w:lineRule="exact"/>
        <w:ind w:right="1613"/>
        <w:jc w:val="center"/>
        <w:textAlignment w:val="auto"/>
      </w:pPr>
      <w:r>
        <w:rPr>
          <w:rFonts w:hint="eastAsia"/>
          <w:spacing w:val="-1"/>
          <w:lang w:val="en-US" w:eastAsia="zh-CN"/>
        </w:rPr>
        <w:t xml:space="preserve">    </w:t>
      </w:r>
      <w:r>
        <w:rPr>
          <w:spacing w:val="-1"/>
        </w:rPr>
        <w:t>关于印发</w:t>
      </w:r>
      <w:r>
        <w:rPr>
          <w:rFonts w:hint="eastAsia"/>
          <w:spacing w:val="-1"/>
          <w:lang w:val="en-US" w:eastAsia="zh-CN"/>
        </w:rPr>
        <w:t>常熟</w:t>
      </w:r>
      <w:r>
        <w:rPr>
          <w:spacing w:val="-1"/>
        </w:rPr>
        <w:t>市企业人才参加</w:t>
      </w:r>
    </w:p>
    <w:p>
      <w:pPr>
        <w:keepNext w:val="0"/>
        <w:keepLines w:val="0"/>
        <w:pageBreakBefore w:val="0"/>
        <w:widowControl w:val="0"/>
        <w:kinsoku/>
        <w:wordWrap/>
        <w:overflowPunct/>
        <w:topLinePunct w:val="0"/>
        <w:autoSpaceDE w:val="0"/>
        <w:autoSpaceDN w:val="0"/>
        <w:bidi w:val="0"/>
        <w:adjustRightInd/>
        <w:snapToGrid/>
        <w:spacing w:line="540" w:lineRule="exact"/>
        <w:ind w:firstLine="880" w:firstLineChars="200"/>
        <w:jc w:val="both"/>
        <w:textAlignment w:val="auto"/>
        <w:rPr>
          <w:rFonts w:hint="eastAsia" w:ascii="方正小标宋简体" w:eastAsia="方正小标宋简体"/>
          <w:sz w:val="44"/>
        </w:rPr>
      </w:pPr>
      <w:r>
        <w:rPr>
          <w:rFonts w:hint="eastAsia" w:ascii="方正小标宋简体" w:eastAsia="方正小标宋简体"/>
          <w:sz w:val="44"/>
        </w:rPr>
        <w:t>企业年金集合计划办法</w:t>
      </w:r>
      <w:r>
        <w:rPr>
          <w:rFonts w:ascii="Times New Roman" w:eastAsia="Times New Roman"/>
          <w:sz w:val="44"/>
        </w:rPr>
        <w:t>(</w:t>
      </w:r>
      <w:r>
        <w:rPr>
          <w:rFonts w:hint="eastAsia" w:ascii="方正小标宋简体" w:eastAsia="方正小标宋简体"/>
          <w:sz w:val="44"/>
        </w:rPr>
        <w:t>试行</w:t>
      </w:r>
      <w:r>
        <w:rPr>
          <w:rFonts w:ascii="Times New Roman" w:eastAsia="Times New Roman"/>
          <w:sz w:val="44"/>
        </w:rPr>
        <w:t>)</w:t>
      </w:r>
      <w:r>
        <w:rPr>
          <w:rFonts w:hint="eastAsia" w:ascii="方正小标宋简体" w:eastAsia="方正小标宋简体"/>
          <w:sz w:val="44"/>
        </w:rPr>
        <w:t>的通知</w:t>
      </w:r>
    </w:p>
    <w:p>
      <w:pPr>
        <w:keepNext w:val="0"/>
        <w:keepLines w:val="0"/>
        <w:pageBreakBefore w:val="0"/>
        <w:widowControl w:val="0"/>
        <w:kinsoku/>
        <w:wordWrap/>
        <w:overflowPunct/>
        <w:topLinePunct w:val="0"/>
        <w:autoSpaceDE w:val="0"/>
        <w:autoSpaceDN w:val="0"/>
        <w:bidi w:val="0"/>
        <w:adjustRightInd/>
        <w:snapToGrid/>
        <w:spacing w:line="540" w:lineRule="exact"/>
        <w:ind w:firstLine="3520" w:firstLineChars="11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cs="仿宋_GB2312"/>
          <w:sz w:val="32"/>
          <w:szCs w:val="32"/>
          <w:lang w:eastAsia="zh-CN"/>
        </w:rPr>
        <w:t>征求意见稿</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snapToGrid/>
        <w:spacing w:line="329" w:lineRule="auto"/>
        <w:jc w:val="both"/>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329" w:lineRule="auto"/>
        <w:jc w:val="both"/>
        <w:textAlignment w:val="auto"/>
        <w:rPr>
          <w:rFonts w:hint="eastAsia" w:ascii="仿宋_GB2312" w:hAnsi="仿宋_GB2312" w:eastAsia="仿宋_GB2312" w:cs="仿宋_GB2312"/>
          <w:b w:val="0"/>
          <w:bCs w:val="0"/>
          <w:sz w:val="32"/>
          <w:szCs w:val="32"/>
          <w:lang w:val="en-US" w:eastAsia="zh-CN"/>
        </w:rPr>
      </w:pPr>
      <w:bookmarkStart w:id="0" w:name="_GoBack"/>
      <w:bookmarkEnd w:id="0"/>
      <w:r>
        <w:rPr>
          <w:rFonts w:hint="eastAsia" w:ascii="仿宋_GB2312" w:hAnsi="仿宋_GB2312" w:eastAsia="仿宋_GB2312" w:cs="仿宋_GB2312"/>
          <w:b w:val="0"/>
          <w:bCs w:val="0"/>
          <w:sz w:val="32"/>
          <w:szCs w:val="32"/>
          <w:lang w:val="en-US" w:eastAsia="zh-CN"/>
        </w:rPr>
        <w:t>各有关单位：</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为全面贯彻落实</w:t>
      </w:r>
      <w:r>
        <w:rPr>
          <w:rFonts w:hint="eastAsia" w:cs="仿宋_GB2312"/>
          <w:b w:val="0"/>
          <w:bCs w:val="0"/>
          <w:sz w:val="32"/>
          <w:szCs w:val="32"/>
          <w:lang w:val="en-US" w:eastAsia="zh-CN"/>
        </w:rPr>
        <w:t>党的二十大精神，发展多层次、多支柱养老保险体系，加强新时代高技能人才队伍建设，</w:t>
      </w:r>
      <w:r>
        <w:rPr>
          <w:rFonts w:hint="eastAsia" w:ascii="仿宋_GB2312" w:hAnsi="仿宋_GB2312" w:eastAsia="仿宋_GB2312" w:cs="仿宋_GB2312"/>
          <w:b w:val="0"/>
          <w:bCs w:val="0"/>
          <w:sz w:val="32"/>
          <w:szCs w:val="32"/>
          <w:lang w:val="en-US" w:eastAsia="zh-CN"/>
        </w:rPr>
        <w:t>鼓励企业吸引和留住人才，促进人力资源要素合理化配置，根据《企业年金办法》（人力资源和社会保障部、财政部令第36号）、《企业年金基金管理办法》（人力资源和社会保障部令第11号）以及《人力资源社会保障部办公厅关于进一步做好企业年金方案备案工作的意见》（人社厅发〔2014〕60号）等规定，结合实际，现就我市企业人才参加企业年金集合计划</w:t>
      </w:r>
      <w:r>
        <w:rPr>
          <w:rFonts w:hint="eastAsia" w:cs="仿宋_GB2312"/>
          <w:b w:val="0"/>
          <w:bCs w:val="0"/>
          <w:sz w:val="32"/>
          <w:szCs w:val="32"/>
          <w:lang w:val="en-US" w:eastAsia="zh-CN"/>
        </w:rPr>
        <w:t>（以下简称“企业年金集合计划”）</w:t>
      </w:r>
      <w:r>
        <w:rPr>
          <w:rFonts w:hint="eastAsia" w:ascii="仿宋_GB2312" w:hAnsi="仿宋_GB2312" w:eastAsia="仿宋_GB2312" w:cs="仿宋_GB2312"/>
          <w:b w:val="0"/>
          <w:bCs w:val="0"/>
          <w:sz w:val="32"/>
          <w:szCs w:val="32"/>
          <w:lang w:val="en-US" w:eastAsia="zh-CN"/>
        </w:rPr>
        <w:t>提出如下试行办法：</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一、实施范围和对象</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（一）参加企业应同时符合下列条件</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1.依法参加我市企业职工基本养老保险并履行缴费义务；</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2.具有相应的经济负担能力，且未建立企业年金计划；</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3.已建立集体协商机制；</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4.企业自愿；</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5.企业注册地及缴税地在常熟市行政区域内。</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（二）参加人员应同时符合下列条件</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1.依法参加我市企业职工基本养老保险并履行缴费义务；</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2.本人自愿；</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3.具有大专及以上学历,或具有中级及以上专业技术资格，或具有高级工（三级）及以上职业资格（技能等级），或具有实职的企业中高层管理人员以及企业需要的其他人才。</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（三）参加企业职工基本养老保险的其他用人单位及其职工可参照本试行办法执行。</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二、资金筹集和分配</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highlight w:val="yellow"/>
          <w:lang w:val="en-US" w:eastAsia="zh-CN"/>
        </w:rPr>
      </w:pPr>
      <w:r>
        <w:rPr>
          <w:rFonts w:hint="default" w:cs="仿宋_GB2312"/>
          <w:b w:val="0"/>
          <w:bCs w:val="0"/>
          <w:sz w:val="32"/>
          <w:szCs w:val="32"/>
          <w:lang w:val="en-US" w:eastAsia="zh-CN"/>
        </w:rPr>
        <w:t>（一）企业年金所需费用由企业和参加人员共同缴纳。企业缴费的列支渠道按国家有关规定执行；参加人员个人缴费由企业从其工资中代扣。</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highlight w:val="none"/>
          <w:lang w:val="en-US" w:eastAsia="zh-CN"/>
        </w:rPr>
      </w:pPr>
      <w:r>
        <w:rPr>
          <w:rFonts w:hint="eastAsia" w:cs="仿宋_GB2312"/>
          <w:b w:val="0"/>
          <w:bCs w:val="0"/>
          <w:sz w:val="32"/>
          <w:szCs w:val="32"/>
          <w:highlight w:val="none"/>
          <w:lang w:val="en-US" w:eastAsia="zh-CN"/>
        </w:rPr>
        <w:t>（二）企业缴费每年不超过本企业参加企业年金集合计划人员工资总额的8%。企业和参加人员个人缴费合计一般不超过本企业参加企业年金集合计划人员工资总额的12%。</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highlight w:val="none"/>
          <w:lang w:val="en-US" w:eastAsia="zh-CN"/>
        </w:rPr>
      </w:pPr>
      <w:r>
        <w:rPr>
          <w:rFonts w:hint="eastAsia" w:cs="仿宋_GB2312"/>
          <w:b w:val="0"/>
          <w:bCs w:val="0"/>
          <w:sz w:val="32"/>
          <w:szCs w:val="32"/>
          <w:highlight w:val="none"/>
          <w:lang w:val="en-US" w:eastAsia="zh-CN"/>
        </w:rPr>
        <w:t>（三）企业年金个人账户中企业缴费及其投资收益，企业与参加人员一方约定其自始归属于参加人员个人，也可以约定随着参加人员在本企业工作年限的增加逐步归属于参加人员个人，完全归属于参加人员个人的期限最长不超过8年。</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三、管理运营</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r>
        <w:rPr>
          <w:rFonts w:hint="eastAsia" w:cs="仿宋_GB2312"/>
          <w:b w:val="0"/>
          <w:bCs w:val="0"/>
          <w:sz w:val="32"/>
          <w:szCs w:val="32"/>
          <w:lang w:val="en-US" w:eastAsia="zh-CN"/>
        </w:rPr>
        <w:t>（一）</w:t>
      </w:r>
      <w:r>
        <w:rPr>
          <w:rFonts w:hint="default" w:cs="仿宋_GB2312"/>
          <w:b w:val="0"/>
          <w:bCs w:val="0"/>
          <w:sz w:val="32"/>
          <w:szCs w:val="32"/>
          <w:lang w:val="en-US" w:eastAsia="zh-CN"/>
        </w:rPr>
        <w:t>企业年金集合计划遵循“规范统一、自愿参与”的原则，全市统一年金方案，符合条件的企业和人才自愿申请参加，统一投资运营。</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二）常熟市人力资源开发有限公司负责企业年金集合计划的经办管理，制定全市企业年金集合计划方案并向常熟市人力资源和社会保障局备案，开展招标确定企业年金集合计划受托人，受托人按照国家规定设立本市企业年金集合计划基金，并委托具有资质的托管人、账户管理人和投资管理人按职能管理企业年金集合计划基金。</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四、操作实施</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r>
        <w:rPr>
          <w:rFonts w:hint="eastAsia" w:cs="仿宋_GB2312"/>
          <w:b w:val="0"/>
          <w:bCs w:val="0"/>
          <w:sz w:val="32"/>
          <w:szCs w:val="32"/>
          <w:lang w:val="en-US" w:eastAsia="zh-CN"/>
        </w:rPr>
        <w:t>（一）首批意向</w:t>
      </w:r>
      <w:r>
        <w:rPr>
          <w:rFonts w:hint="default" w:cs="仿宋_GB2312"/>
          <w:b w:val="0"/>
          <w:bCs w:val="0"/>
          <w:sz w:val="32"/>
          <w:szCs w:val="32"/>
          <w:lang w:val="en-US" w:eastAsia="zh-CN"/>
        </w:rPr>
        <w:t>企业向</w:t>
      </w:r>
      <w:r>
        <w:rPr>
          <w:rFonts w:hint="eastAsia" w:cs="仿宋_GB2312"/>
          <w:b w:val="0"/>
          <w:bCs w:val="0"/>
          <w:sz w:val="32"/>
          <w:szCs w:val="32"/>
          <w:lang w:val="en-US" w:eastAsia="zh-CN"/>
        </w:rPr>
        <w:t>市人力资源开发有限公司</w:t>
      </w:r>
      <w:r>
        <w:rPr>
          <w:rFonts w:hint="default" w:cs="仿宋_GB2312"/>
          <w:b w:val="0"/>
          <w:bCs w:val="0"/>
          <w:sz w:val="32"/>
          <w:szCs w:val="32"/>
          <w:lang w:val="en-US" w:eastAsia="zh-CN"/>
        </w:rPr>
        <w:t>提交《常熟市企业人才参加企业年金集合计划方案申请表》（见附件</w:t>
      </w:r>
      <w:r>
        <w:rPr>
          <w:rFonts w:hint="eastAsia" w:cs="仿宋_GB2312"/>
          <w:b w:val="0"/>
          <w:bCs w:val="0"/>
          <w:sz w:val="32"/>
          <w:szCs w:val="32"/>
          <w:lang w:val="en-US" w:eastAsia="zh-CN"/>
        </w:rPr>
        <w:t>1</w:t>
      </w:r>
      <w:r>
        <w:rPr>
          <w:rFonts w:hint="default" w:cs="仿宋_GB2312"/>
          <w:b w:val="0"/>
          <w:bCs w:val="0"/>
          <w:sz w:val="32"/>
          <w:szCs w:val="32"/>
          <w:lang w:val="en-US" w:eastAsia="zh-CN"/>
        </w:rPr>
        <w:t>），并提供以下材料：</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9" w:lineRule="auto"/>
        <w:ind w:right="0" w:rightChars="0" w:firstLine="640" w:firstLineChars="200"/>
        <w:jc w:val="both"/>
        <w:textAlignment w:val="auto"/>
        <w:rPr>
          <w:rFonts w:hint="default" w:cs="仿宋_GB2312"/>
          <w:b w:val="0"/>
          <w:bCs w:val="0"/>
          <w:sz w:val="32"/>
          <w:szCs w:val="32"/>
          <w:lang w:val="en-US" w:eastAsia="zh-CN"/>
        </w:rPr>
      </w:pPr>
      <w:r>
        <w:rPr>
          <w:rFonts w:hint="eastAsia" w:cs="仿宋_GB2312"/>
          <w:b w:val="0"/>
          <w:bCs w:val="0"/>
          <w:sz w:val="32"/>
          <w:szCs w:val="32"/>
          <w:lang w:val="en-US" w:eastAsia="zh-CN"/>
        </w:rPr>
        <w:t>1.</w:t>
      </w:r>
      <w:r>
        <w:rPr>
          <w:rFonts w:hint="default" w:cs="仿宋_GB2312"/>
          <w:b w:val="0"/>
          <w:bCs w:val="0"/>
          <w:sz w:val="32"/>
          <w:szCs w:val="32"/>
          <w:lang w:val="en-US" w:eastAsia="zh-CN"/>
        </w:rPr>
        <w:t>《常熟市企业人才参加企业年金集合计划授权委托书》（</w:t>
      </w:r>
      <w:r>
        <w:rPr>
          <w:rFonts w:hint="eastAsia" w:cs="仿宋_GB2312"/>
          <w:b w:val="0"/>
          <w:bCs w:val="0"/>
          <w:sz w:val="32"/>
          <w:szCs w:val="32"/>
          <w:lang w:val="en-US" w:eastAsia="zh-CN"/>
        </w:rPr>
        <w:t>见</w:t>
      </w:r>
      <w:r>
        <w:rPr>
          <w:rFonts w:hint="default" w:cs="仿宋_GB2312"/>
          <w:b w:val="0"/>
          <w:bCs w:val="0"/>
          <w:sz w:val="32"/>
          <w:szCs w:val="32"/>
          <w:lang w:val="en-US" w:eastAsia="zh-CN"/>
        </w:rPr>
        <w:t>附件2）</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9" w:lineRule="auto"/>
        <w:ind w:right="0" w:rightChars="0" w:firstLine="640" w:firstLineChars="200"/>
        <w:jc w:val="both"/>
        <w:textAlignment w:val="auto"/>
        <w:rPr>
          <w:rFonts w:hint="default" w:cs="仿宋_GB2312"/>
          <w:b w:val="0"/>
          <w:bCs w:val="0"/>
          <w:sz w:val="32"/>
          <w:szCs w:val="32"/>
          <w:lang w:val="en-US" w:eastAsia="zh-CN"/>
        </w:rPr>
      </w:pPr>
      <w:r>
        <w:rPr>
          <w:rFonts w:hint="default" w:cs="仿宋_GB2312"/>
          <w:b w:val="0"/>
          <w:bCs w:val="0"/>
          <w:sz w:val="32"/>
          <w:szCs w:val="32"/>
          <w:lang w:val="en-US" w:eastAsia="zh-CN"/>
        </w:rPr>
        <w:t>2．企业人才参加企业年金集合计划方案提交职工代表大会或者全体职工讨论通过的决议</w:t>
      </w:r>
      <w:r>
        <w:rPr>
          <w:rFonts w:hint="eastAsia" w:cs="仿宋_GB2312"/>
          <w:b w:val="0"/>
          <w:bCs w:val="0"/>
          <w:sz w:val="32"/>
          <w:szCs w:val="32"/>
          <w:lang w:val="en-US" w:eastAsia="zh-CN"/>
        </w:rPr>
        <w:t>（包括缴费比例、归属规则等）</w:t>
      </w:r>
      <w:r>
        <w:rPr>
          <w:rFonts w:hint="default" w:cs="仿宋_GB2312"/>
          <w:b w:val="0"/>
          <w:bCs w:val="0"/>
          <w:sz w:val="32"/>
          <w:szCs w:val="32"/>
          <w:lang w:val="en-US" w:eastAsia="zh-CN"/>
        </w:rPr>
        <w:t>；</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r>
        <w:rPr>
          <w:rFonts w:hint="default" w:cs="仿宋_GB2312"/>
          <w:b w:val="0"/>
          <w:bCs w:val="0"/>
          <w:sz w:val="32"/>
          <w:szCs w:val="32"/>
          <w:lang w:val="en-US" w:eastAsia="zh-CN"/>
        </w:rPr>
        <w:t>3.参加企业年金集合计划人员名册</w:t>
      </w:r>
      <w:r>
        <w:rPr>
          <w:rFonts w:hint="eastAsia" w:cs="仿宋_GB2312"/>
          <w:b w:val="0"/>
          <w:bCs w:val="0"/>
          <w:sz w:val="32"/>
          <w:szCs w:val="32"/>
          <w:lang w:val="en-US" w:eastAsia="zh-CN"/>
        </w:rPr>
        <w:t>（见附件3）</w:t>
      </w:r>
      <w:r>
        <w:rPr>
          <w:rFonts w:hint="default" w:cs="仿宋_GB2312"/>
          <w:b w:val="0"/>
          <w:bCs w:val="0"/>
          <w:sz w:val="32"/>
          <w:szCs w:val="32"/>
          <w:lang w:val="en-US" w:eastAsia="zh-CN"/>
        </w:rPr>
        <w:t>、人才资质相关证明材料（复印件盖章）。</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（二）市人力资源开发有限公司审核通过后，同企业年金集合计划方案一起报市人社局备案。</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（三）市人社局收到报备的年金方案后，应在15日内按规定给予是否同意备案的批复，或对材料提出修改意见，市人力资源开发有限公司修改后按程序重新报备。</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（四）市人力资源开发有限公司收到市人社局同意年金方案备案的批复后，与有资质的年金基金管理机构签订管理合同，并按照国家、省有关规定和方案内容管理运营。</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eastAsia" w:cs="仿宋_GB2312"/>
          <w:b w:val="0"/>
          <w:bCs w:val="0"/>
          <w:sz w:val="32"/>
          <w:szCs w:val="32"/>
          <w:lang w:val="en-US" w:eastAsia="zh-CN"/>
        </w:rPr>
      </w:pPr>
      <w:r>
        <w:rPr>
          <w:rFonts w:hint="eastAsia" w:cs="仿宋_GB2312"/>
          <w:b w:val="0"/>
          <w:bCs w:val="0"/>
          <w:sz w:val="32"/>
          <w:szCs w:val="32"/>
          <w:lang w:val="en-US" w:eastAsia="zh-CN"/>
        </w:rPr>
        <w:t>（五）后期新增企业意向参加企业年金集合计划的，填写申请表、授权委托书，并随报相关材料，经市人力资源开发有限公司审核，报市人社局备案后实施运行。</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highlight w:val="none"/>
          <w:lang w:val="en-US" w:eastAsia="zh-CN"/>
        </w:rPr>
      </w:pPr>
      <w:r>
        <w:rPr>
          <w:rFonts w:hint="eastAsia" w:cs="仿宋_GB2312"/>
          <w:b w:val="0"/>
          <w:bCs w:val="0"/>
          <w:sz w:val="32"/>
          <w:szCs w:val="32"/>
          <w:highlight w:val="none"/>
          <w:lang w:val="en-US" w:eastAsia="zh-CN"/>
        </w:rPr>
        <w:t>（六）企业年金集合计划方案经市人力资源开发有限公司与参与企业集体协商后作出调整的，市人力资源开发有限公司应自变化发生之日起10日内重新履行报备手续。</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r>
        <w:rPr>
          <w:rFonts w:hint="eastAsia" w:cs="仿宋_GB2312"/>
          <w:b w:val="0"/>
          <w:bCs w:val="0"/>
          <w:sz w:val="32"/>
          <w:szCs w:val="32"/>
          <w:lang w:val="en-US" w:eastAsia="zh-CN"/>
        </w:rPr>
        <w:t>五、</w:t>
      </w:r>
      <w:r>
        <w:rPr>
          <w:rFonts w:hint="default" w:cs="仿宋_GB2312"/>
          <w:b w:val="0"/>
          <w:bCs w:val="0"/>
          <w:sz w:val="32"/>
          <w:szCs w:val="32"/>
          <w:lang w:val="en-US" w:eastAsia="zh-CN"/>
        </w:rPr>
        <w:t>本办法自 202</w:t>
      </w:r>
      <w:r>
        <w:rPr>
          <w:rFonts w:hint="eastAsia" w:cs="仿宋_GB2312"/>
          <w:b w:val="0"/>
          <w:bCs w:val="0"/>
          <w:sz w:val="32"/>
          <w:szCs w:val="32"/>
          <w:lang w:val="en-US" w:eastAsia="zh-CN"/>
        </w:rPr>
        <w:t>3</w:t>
      </w:r>
      <w:r>
        <w:rPr>
          <w:rFonts w:hint="default" w:cs="仿宋_GB2312"/>
          <w:b w:val="0"/>
          <w:bCs w:val="0"/>
          <w:sz w:val="32"/>
          <w:szCs w:val="32"/>
          <w:lang w:val="en-US" w:eastAsia="zh-CN"/>
        </w:rPr>
        <w:t xml:space="preserve"> 年  月  日起实施，其余未尽事项按《企业年金办法》执行；本办法实施后上级有新规定的，从其规定。</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329" w:lineRule="auto"/>
        <w:ind w:firstLine="560" w:firstLineChars="200"/>
        <w:jc w:val="left"/>
        <w:textAlignment w:val="auto"/>
        <w:rPr>
          <w:rFonts w:hint="default" w:cs="仿宋_GB2312"/>
          <w:b w:val="0"/>
          <w:bCs w:val="0"/>
          <w:spacing w:val="-20"/>
          <w:sz w:val="32"/>
          <w:szCs w:val="32"/>
          <w:lang w:val="en-US" w:eastAsia="zh-CN"/>
        </w:rPr>
      </w:pPr>
      <w:r>
        <w:rPr>
          <w:rFonts w:hint="eastAsia" w:cs="仿宋_GB2312"/>
          <w:b w:val="0"/>
          <w:bCs w:val="0"/>
          <w:spacing w:val="-20"/>
          <w:sz w:val="32"/>
          <w:szCs w:val="32"/>
          <w:lang w:val="en-US" w:eastAsia="zh-CN"/>
        </w:rPr>
        <w:t>附件：1.</w:t>
      </w:r>
      <w:r>
        <w:rPr>
          <w:rFonts w:hint="default" w:cs="仿宋_GB2312"/>
          <w:b w:val="0"/>
          <w:bCs w:val="0"/>
          <w:spacing w:val="-20"/>
          <w:sz w:val="32"/>
          <w:szCs w:val="32"/>
          <w:lang w:val="en-US" w:eastAsia="zh-CN"/>
        </w:rPr>
        <w:t>常熟市企业人才参加企业年金集合计划方案申请表</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9" w:lineRule="auto"/>
        <w:ind w:right="0" w:rightChars="0" w:firstLine="1400" w:firstLineChars="500"/>
        <w:jc w:val="left"/>
        <w:textAlignment w:val="auto"/>
        <w:rPr>
          <w:rFonts w:hint="default" w:cs="仿宋_GB2312"/>
          <w:b w:val="0"/>
          <w:bCs w:val="0"/>
          <w:spacing w:val="-20"/>
          <w:sz w:val="32"/>
          <w:szCs w:val="32"/>
          <w:lang w:val="en-US" w:eastAsia="zh-CN"/>
        </w:rPr>
      </w:pPr>
      <w:r>
        <w:rPr>
          <w:rFonts w:hint="eastAsia" w:cs="仿宋_GB2312"/>
          <w:b w:val="0"/>
          <w:bCs w:val="0"/>
          <w:spacing w:val="-20"/>
          <w:sz w:val="32"/>
          <w:szCs w:val="32"/>
          <w:lang w:val="en-US" w:eastAsia="zh-CN"/>
        </w:rPr>
        <w:t>2.</w:t>
      </w:r>
      <w:r>
        <w:rPr>
          <w:rFonts w:hint="default" w:cs="仿宋_GB2312"/>
          <w:b w:val="0"/>
          <w:bCs w:val="0"/>
          <w:spacing w:val="-20"/>
          <w:sz w:val="32"/>
          <w:szCs w:val="32"/>
          <w:lang w:val="en-US" w:eastAsia="zh-CN"/>
        </w:rPr>
        <w:t>常熟市企业人才参加企业年金集合计划授权委托书</w:t>
      </w:r>
      <w:r>
        <w:rPr>
          <w:rFonts w:hint="eastAsia" w:cs="仿宋_GB2312"/>
          <w:b w:val="0"/>
          <w:bCs w:val="0"/>
          <w:spacing w:val="-20"/>
          <w:sz w:val="32"/>
          <w:szCs w:val="32"/>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29" w:lineRule="auto"/>
        <w:ind w:firstLine="1400" w:firstLineChars="500"/>
        <w:jc w:val="left"/>
        <w:textAlignment w:val="auto"/>
        <w:rPr>
          <w:rFonts w:hint="default" w:cs="仿宋_GB2312"/>
          <w:b w:val="0"/>
          <w:bCs w:val="0"/>
          <w:spacing w:val="-20"/>
          <w:sz w:val="32"/>
          <w:szCs w:val="32"/>
          <w:lang w:val="en-US" w:eastAsia="zh-CN"/>
        </w:rPr>
      </w:pPr>
      <w:r>
        <w:rPr>
          <w:rFonts w:hint="eastAsia" w:cs="仿宋_GB2312"/>
          <w:b w:val="0"/>
          <w:bCs w:val="0"/>
          <w:spacing w:val="-20"/>
          <w:sz w:val="32"/>
          <w:szCs w:val="32"/>
          <w:lang w:val="en-US" w:eastAsia="zh-CN"/>
        </w:rPr>
        <w:t>3.</w:t>
      </w:r>
      <w:r>
        <w:rPr>
          <w:rFonts w:hint="default" w:cs="仿宋_GB2312"/>
          <w:b w:val="0"/>
          <w:bCs w:val="0"/>
          <w:spacing w:val="-20"/>
          <w:sz w:val="32"/>
          <w:szCs w:val="32"/>
          <w:lang w:val="en-US" w:eastAsia="zh-CN"/>
        </w:rPr>
        <w:t>参加企业年金集合计划人员名册（范表）</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center"/>
        <w:textAlignment w:val="auto"/>
        <w:rPr>
          <w:rFonts w:hint="eastAsia" w:cs="仿宋_GB2312"/>
          <w:b w:val="0"/>
          <w:bCs w:val="0"/>
          <w:sz w:val="32"/>
          <w:szCs w:val="32"/>
          <w:lang w:val="en-US" w:eastAsia="zh-CN"/>
        </w:rPr>
      </w:pPr>
      <w:r>
        <w:rPr>
          <w:rFonts w:hint="eastAsia" w:cs="仿宋_GB2312"/>
          <w:b w:val="0"/>
          <w:bCs w:val="0"/>
          <w:sz w:val="32"/>
          <w:szCs w:val="32"/>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center"/>
        <w:textAlignment w:val="auto"/>
        <w:rPr>
          <w:rFonts w:hint="eastAsia" w:cs="仿宋_GB2312"/>
          <w:b w:val="0"/>
          <w:bCs w:val="0"/>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center"/>
        <w:textAlignment w:val="auto"/>
        <w:rPr>
          <w:rFonts w:hint="default" w:cs="仿宋_GB2312"/>
          <w:b w:val="0"/>
          <w:bCs w:val="0"/>
          <w:sz w:val="32"/>
          <w:szCs w:val="32"/>
          <w:lang w:val="en-US" w:eastAsia="zh-CN"/>
        </w:rPr>
      </w:pPr>
      <w:r>
        <w:rPr>
          <w:rFonts w:hint="eastAsia" w:cs="仿宋_GB2312"/>
          <w:b w:val="0"/>
          <w:bCs w:val="0"/>
          <w:sz w:val="32"/>
          <w:szCs w:val="32"/>
          <w:lang w:val="en-US" w:eastAsia="zh-CN"/>
        </w:rPr>
        <w:t>常熟</w:t>
      </w:r>
      <w:r>
        <w:rPr>
          <w:rFonts w:hint="default" w:cs="仿宋_GB2312"/>
          <w:b w:val="0"/>
          <w:bCs w:val="0"/>
          <w:sz w:val="32"/>
          <w:szCs w:val="32"/>
          <w:lang w:val="en-US" w:eastAsia="zh-CN"/>
        </w:rPr>
        <w:t>市人力资源和社会保障局</w:t>
      </w:r>
    </w:p>
    <w:p>
      <w:pPr>
        <w:keepNext w:val="0"/>
        <w:keepLines w:val="0"/>
        <w:pageBreakBefore w:val="0"/>
        <w:widowControl w:val="0"/>
        <w:kinsoku/>
        <w:wordWrap/>
        <w:overflowPunct/>
        <w:topLinePunct w:val="0"/>
        <w:autoSpaceDE w:val="0"/>
        <w:autoSpaceDN w:val="0"/>
        <w:bidi w:val="0"/>
        <w:adjustRightInd/>
        <w:snapToGrid/>
        <w:spacing w:line="329" w:lineRule="auto"/>
        <w:ind w:firstLine="3520" w:firstLineChars="1100"/>
        <w:jc w:val="both"/>
        <w:textAlignment w:val="auto"/>
        <w:rPr>
          <w:rFonts w:hint="default" w:cs="仿宋_GB2312"/>
          <w:b w:val="0"/>
          <w:bCs w:val="0"/>
          <w:sz w:val="32"/>
          <w:szCs w:val="32"/>
          <w:lang w:val="en-US" w:eastAsia="zh-CN"/>
        </w:rPr>
      </w:pPr>
      <w:r>
        <w:rPr>
          <w:rFonts w:hint="default" w:cs="仿宋_GB2312"/>
          <w:b w:val="0"/>
          <w:bCs w:val="0"/>
          <w:sz w:val="32"/>
          <w:szCs w:val="32"/>
          <w:lang w:val="en-US" w:eastAsia="zh-CN"/>
        </w:rPr>
        <w:t>202</w:t>
      </w:r>
      <w:r>
        <w:rPr>
          <w:rFonts w:hint="eastAsia" w:cs="仿宋_GB2312"/>
          <w:b w:val="0"/>
          <w:bCs w:val="0"/>
          <w:sz w:val="32"/>
          <w:szCs w:val="32"/>
          <w:lang w:val="en-US" w:eastAsia="zh-CN"/>
        </w:rPr>
        <w:t>3</w:t>
      </w:r>
      <w:r>
        <w:rPr>
          <w:rFonts w:hint="default" w:cs="仿宋_GB2312"/>
          <w:b w:val="0"/>
          <w:bCs w:val="0"/>
          <w:sz w:val="32"/>
          <w:szCs w:val="32"/>
          <w:lang w:val="en-US" w:eastAsia="zh-CN"/>
        </w:rPr>
        <w:t xml:space="preserve"> 年  月  日</w:t>
      </w:r>
    </w:p>
    <w:p>
      <w:pPr>
        <w:keepNext w:val="0"/>
        <w:keepLines w:val="0"/>
        <w:pageBreakBefore w:val="0"/>
        <w:widowControl w:val="0"/>
        <w:kinsoku/>
        <w:wordWrap/>
        <w:overflowPunct/>
        <w:topLinePunct w:val="0"/>
        <w:autoSpaceDE w:val="0"/>
        <w:autoSpaceDN w:val="0"/>
        <w:bidi w:val="0"/>
        <w:adjustRightInd/>
        <w:snapToGrid/>
        <w:spacing w:line="329" w:lineRule="auto"/>
        <w:jc w:val="both"/>
        <w:textAlignment w:val="auto"/>
        <w:rPr>
          <w:rFonts w:hint="default" w:cs="仿宋_GB2312"/>
          <w:b w:val="0"/>
          <w:bCs w:val="0"/>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spacing w:line="329" w:lineRule="auto"/>
        <w:ind w:firstLine="640" w:firstLineChars="200"/>
        <w:jc w:val="both"/>
        <w:textAlignment w:val="auto"/>
        <w:rPr>
          <w:rFonts w:hint="default" w:cs="仿宋_GB2312"/>
          <w:b w:val="0"/>
          <w:bCs w:val="0"/>
          <w:sz w:val="32"/>
          <w:szCs w:val="32"/>
          <w:lang w:val="en-US" w:eastAsia="zh-CN"/>
        </w:rPr>
      </w:pPr>
      <w:r>
        <w:rPr>
          <w:rFonts w:hint="default" w:cs="仿宋_GB2312"/>
          <w:b w:val="0"/>
          <w:bCs w:val="0"/>
          <w:sz w:val="32"/>
          <w:szCs w:val="32"/>
          <w:lang w:val="en-US" w:eastAsia="zh-CN"/>
        </w:rPr>
        <w:t>（此件主动公开）</w:t>
      </w: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eastAsia="黑体"/>
          <w:sz w:val="32"/>
          <w:szCs w:val="32"/>
          <w:highlight w:val="none"/>
          <w:lang w:val="en-US" w:eastAsia="zh-CN"/>
        </w:rPr>
      </w:pPr>
      <w:r>
        <w:rPr>
          <w:rFonts w:hint="eastAsia" w:ascii="黑体" w:eastAsia="黑体"/>
          <w:sz w:val="32"/>
          <w:szCs w:val="32"/>
          <w:highlight w:val="none"/>
        </w:rPr>
        <w:t>附件</w:t>
      </w:r>
      <w:r>
        <w:rPr>
          <w:rFonts w:hint="eastAsia" w:ascii="黑体" w:eastAsia="黑体"/>
          <w:sz w:val="32"/>
          <w:szCs w:val="32"/>
          <w:highlight w:val="none"/>
          <w:lang w:val="en-US" w:eastAsia="zh-CN"/>
        </w:rPr>
        <w:t>1</w:t>
      </w:r>
    </w:p>
    <w:p>
      <w:pPr>
        <w:pStyle w:val="3"/>
        <w:keepNext w:val="0"/>
        <w:keepLines w:val="0"/>
        <w:pageBreakBefore w:val="0"/>
        <w:widowControl w:val="0"/>
        <w:kinsoku/>
        <w:wordWrap/>
        <w:overflowPunct/>
        <w:topLinePunct w:val="0"/>
        <w:autoSpaceDE/>
        <w:autoSpaceDN/>
        <w:bidi w:val="0"/>
        <w:adjustRightInd/>
        <w:snapToGrid/>
        <w:spacing w:before="214" w:line="300" w:lineRule="exact"/>
        <w:ind w:left="852"/>
        <w:textAlignment w:val="auto"/>
        <w:rPr>
          <w:rFonts w:hint="eastAsia" w:ascii="黑体" w:eastAsia="黑体"/>
          <w:highlight w:val="none"/>
        </w:rPr>
      </w:pPr>
      <w:r>
        <w:rPr>
          <w:rFonts w:hint="eastAsia" w:ascii="黑体" w:eastAsia="黑体"/>
          <w:b w:val="0"/>
          <w:bCs w:val="0"/>
          <w:sz w:val="32"/>
          <w:szCs w:val="32"/>
          <w:highlight w:val="none"/>
          <w:lang w:val="en-US" w:eastAsia="zh-CN"/>
        </w:rPr>
        <w:t>常熟</w:t>
      </w:r>
      <w:r>
        <w:rPr>
          <w:rFonts w:hint="eastAsia" w:ascii="黑体" w:eastAsia="黑体"/>
          <w:b w:val="0"/>
          <w:bCs w:val="0"/>
          <w:sz w:val="32"/>
          <w:szCs w:val="32"/>
          <w:highlight w:val="none"/>
        </w:rPr>
        <w:t>市企</w:t>
      </w:r>
      <w:r>
        <w:rPr>
          <w:rFonts w:hint="eastAsia" w:ascii="黑体" w:eastAsia="黑体"/>
          <w:sz w:val="32"/>
          <w:szCs w:val="32"/>
          <w:highlight w:val="none"/>
        </w:rPr>
        <w:t>业人才参加企业年金集合计划方案</w:t>
      </w:r>
      <w:r>
        <w:rPr>
          <w:rFonts w:hint="eastAsia" w:ascii="黑体" w:eastAsia="黑体"/>
          <w:sz w:val="32"/>
          <w:szCs w:val="32"/>
          <w:highlight w:val="none"/>
          <w:lang w:val="en-US" w:eastAsia="zh-CN"/>
        </w:rPr>
        <w:t>申请</w:t>
      </w:r>
      <w:r>
        <w:rPr>
          <w:rFonts w:hint="eastAsia" w:ascii="黑体" w:eastAsia="黑体"/>
          <w:sz w:val="32"/>
          <w:szCs w:val="32"/>
          <w:highlight w:val="none"/>
        </w:rPr>
        <w:t>表</w:t>
      </w:r>
    </w:p>
    <w:p>
      <w:pPr>
        <w:pStyle w:val="3"/>
        <w:spacing w:before="7"/>
        <w:rPr>
          <w:rFonts w:ascii="黑体"/>
          <w:sz w:val="20"/>
          <w:highlight w:val="none"/>
        </w:rPr>
      </w:pPr>
    </w:p>
    <w:tbl>
      <w:tblPr>
        <w:tblStyle w:val="6"/>
        <w:tblW w:w="0" w:type="auto"/>
        <w:tblInd w:w="336"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0" w:type="dxa"/>
          <w:bottom w:w="0" w:type="dxa"/>
          <w:right w:w="0" w:type="dxa"/>
        </w:tblCellMar>
      </w:tblPr>
      <w:tblGrid>
        <w:gridCol w:w="2008"/>
        <w:gridCol w:w="1926"/>
        <w:gridCol w:w="2948"/>
        <w:gridCol w:w="1532"/>
      </w:tblGrid>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2008" w:type="dxa"/>
            <w:tcBorders>
              <w:tl2br w:val="nil"/>
              <w:tr2bl w:val="nil"/>
            </w:tcBorders>
            <w:noWrap w:val="0"/>
            <w:vAlign w:val="top"/>
          </w:tcPr>
          <w:p>
            <w:pPr>
              <w:pStyle w:val="9"/>
              <w:spacing w:before="71"/>
              <w:ind w:left="262" w:right="250"/>
              <w:jc w:val="center"/>
              <w:rPr>
                <w:sz w:val="24"/>
                <w:highlight w:val="none"/>
              </w:rPr>
            </w:pPr>
            <w:r>
              <w:rPr>
                <w:sz w:val="24"/>
                <w:highlight w:val="none"/>
              </w:rPr>
              <w:t>企业名称</w:t>
            </w:r>
          </w:p>
        </w:tc>
        <w:tc>
          <w:tcPr>
            <w:tcW w:w="1926" w:type="dxa"/>
            <w:tcBorders>
              <w:tl2br w:val="nil"/>
              <w:tr2bl w:val="nil"/>
            </w:tcBorders>
            <w:noWrap w:val="0"/>
            <w:vAlign w:val="top"/>
          </w:tcPr>
          <w:p>
            <w:pPr>
              <w:pStyle w:val="9"/>
              <w:rPr>
                <w:rFonts w:ascii="Times New Roman"/>
                <w:sz w:val="22"/>
                <w:highlight w:val="none"/>
              </w:rPr>
            </w:pPr>
          </w:p>
        </w:tc>
        <w:tc>
          <w:tcPr>
            <w:tcW w:w="2948" w:type="dxa"/>
            <w:tcBorders>
              <w:tl2br w:val="nil"/>
              <w:tr2bl w:val="nil"/>
            </w:tcBorders>
            <w:noWrap w:val="0"/>
            <w:vAlign w:val="top"/>
          </w:tcPr>
          <w:p>
            <w:pPr>
              <w:pStyle w:val="9"/>
              <w:spacing w:before="71"/>
              <w:ind w:left="274" w:right="259"/>
              <w:jc w:val="center"/>
              <w:rPr>
                <w:sz w:val="24"/>
                <w:highlight w:val="none"/>
              </w:rPr>
            </w:pPr>
            <w:r>
              <w:rPr>
                <w:sz w:val="24"/>
                <w:highlight w:val="none"/>
              </w:rPr>
              <w:t>法定代表人</w:t>
            </w:r>
          </w:p>
        </w:tc>
        <w:tc>
          <w:tcPr>
            <w:tcW w:w="1532" w:type="dxa"/>
            <w:tcBorders>
              <w:tl2br w:val="nil"/>
              <w:tr2bl w:val="nil"/>
            </w:tcBorders>
            <w:noWrap w:val="0"/>
            <w:vAlign w:val="top"/>
          </w:tcPr>
          <w:p>
            <w:pPr>
              <w:pStyle w:val="9"/>
              <w:rPr>
                <w:rFonts w:ascii="Times New Roman"/>
                <w:sz w:val="22"/>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2008" w:type="dxa"/>
            <w:tcBorders>
              <w:tl2br w:val="nil"/>
              <w:tr2bl w:val="nil"/>
            </w:tcBorders>
            <w:noWrap w:val="0"/>
            <w:vAlign w:val="top"/>
          </w:tcPr>
          <w:p>
            <w:pPr>
              <w:pStyle w:val="9"/>
              <w:spacing w:before="161"/>
              <w:ind w:left="262" w:right="250"/>
              <w:jc w:val="center"/>
              <w:rPr>
                <w:sz w:val="24"/>
                <w:highlight w:val="none"/>
              </w:rPr>
            </w:pPr>
            <w:r>
              <w:rPr>
                <w:sz w:val="24"/>
                <w:highlight w:val="none"/>
              </w:rPr>
              <w:t>企业经济类型</w:t>
            </w:r>
          </w:p>
        </w:tc>
        <w:tc>
          <w:tcPr>
            <w:tcW w:w="1926" w:type="dxa"/>
            <w:tcBorders>
              <w:tl2br w:val="nil"/>
              <w:tr2bl w:val="nil"/>
            </w:tcBorders>
            <w:noWrap w:val="0"/>
            <w:vAlign w:val="top"/>
          </w:tcPr>
          <w:p>
            <w:pPr>
              <w:pStyle w:val="9"/>
              <w:spacing w:line="290" w:lineRule="exact"/>
              <w:ind w:left="232"/>
              <w:rPr>
                <w:sz w:val="24"/>
                <w:highlight w:val="none"/>
              </w:rPr>
            </w:pPr>
          </w:p>
        </w:tc>
        <w:tc>
          <w:tcPr>
            <w:tcW w:w="2948" w:type="dxa"/>
            <w:tcBorders>
              <w:tl2br w:val="nil"/>
              <w:tr2bl w:val="nil"/>
            </w:tcBorders>
            <w:noWrap w:val="0"/>
            <w:vAlign w:val="top"/>
          </w:tcPr>
          <w:p>
            <w:pPr>
              <w:pStyle w:val="9"/>
              <w:spacing w:before="161"/>
              <w:ind w:left="274" w:right="259"/>
              <w:jc w:val="center"/>
              <w:rPr>
                <w:sz w:val="24"/>
                <w:highlight w:val="none"/>
              </w:rPr>
            </w:pPr>
            <w:r>
              <w:rPr>
                <w:sz w:val="24"/>
                <w:highlight w:val="none"/>
              </w:rPr>
              <w:t>社会保障</w:t>
            </w:r>
            <w:r>
              <w:rPr>
                <w:rFonts w:hint="eastAsia"/>
                <w:sz w:val="24"/>
                <w:highlight w:val="none"/>
                <w:lang w:eastAsia="zh-CN"/>
              </w:rPr>
              <w:t>企业</w:t>
            </w:r>
            <w:r>
              <w:rPr>
                <w:sz w:val="24"/>
                <w:highlight w:val="none"/>
              </w:rPr>
              <w:t>代码</w:t>
            </w:r>
          </w:p>
        </w:tc>
        <w:tc>
          <w:tcPr>
            <w:tcW w:w="1532" w:type="dxa"/>
            <w:tcBorders>
              <w:tl2br w:val="nil"/>
              <w:tr2bl w:val="nil"/>
            </w:tcBorders>
            <w:noWrap w:val="0"/>
            <w:vAlign w:val="top"/>
          </w:tcPr>
          <w:p>
            <w:pPr>
              <w:pStyle w:val="9"/>
              <w:rPr>
                <w:rFonts w:ascii="Times New Roman"/>
                <w:sz w:val="22"/>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2008" w:type="dxa"/>
            <w:tcBorders>
              <w:tl2br w:val="nil"/>
              <w:tr2bl w:val="nil"/>
            </w:tcBorders>
            <w:noWrap w:val="0"/>
            <w:vAlign w:val="top"/>
          </w:tcPr>
          <w:p>
            <w:pPr>
              <w:pStyle w:val="9"/>
              <w:spacing w:before="157"/>
              <w:ind w:left="262" w:right="250"/>
              <w:jc w:val="center"/>
              <w:rPr>
                <w:sz w:val="24"/>
                <w:highlight w:val="none"/>
              </w:rPr>
            </w:pPr>
            <w:r>
              <w:rPr>
                <w:sz w:val="24"/>
                <w:highlight w:val="none"/>
              </w:rPr>
              <w:t>职工总人数</w:t>
            </w:r>
          </w:p>
        </w:tc>
        <w:tc>
          <w:tcPr>
            <w:tcW w:w="1926" w:type="dxa"/>
            <w:tcBorders>
              <w:tl2br w:val="nil"/>
              <w:tr2bl w:val="nil"/>
            </w:tcBorders>
            <w:noWrap w:val="0"/>
            <w:vAlign w:val="top"/>
          </w:tcPr>
          <w:p>
            <w:pPr>
              <w:pStyle w:val="9"/>
              <w:rPr>
                <w:rFonts w:ascii="Times New Roman"/>
                <w:sz w:val="22"/>
                <w:highlight w:val="none"/>
              </w:rPr>
            </w:pPr>
          </w:p>
        </w:tc>
        <w:tc>
          <w:tcPr>
            <w:tcW w:w="2948" w:type="dxa"/>
            <w:tcBorders>
              <w:tl2br w:val="nil"/>
              <w:tr2bl w:val="nil"/>
            </w:tcBorders>
            <w:noWrap w:val="0"/>
            <w:vAlign w:val="top"/>
          </w:tcPr>
          <w:p>
            <w:pPr>
              <w:pStyle w:val="9"/>
              <w:spacing w:before="1"/>
              <w:ind w:left="756"/>
              <w:rPr>
                <w:sz w:val="24"/>
                <w:highlight w:val="none"/>
              </w:rPr>
            </w:pPr>
            <w:r>
              <w:rPr>
                <w:sz w:val="24"/>
                <w:highlight w:val="none"/>
              </w:rPr>
              <w:t>参加企业年金</w:t>
            </w:r>
          </w:p>
          <w:p>
            <w:pPr>
              <w:pStyle w:val="9"/>
              <w:spacing w:before="4" w:line="291" w:lineRule="exact"/>
              <w:ind w:left="756"/>
              <w:rPr>
                <w:sz w:val="24"/>
                <w:highlight w:val="none"/>
              </w:rPr>
            </w:pPr>
            <w:r>
              <w:rPr>
                <w:sz w:val="24"/>
                <w:highlight w:val="none"/>
              </w:rPr>
              <w:t>集合计划人数</w:t>
            </w:r>
          </w:p>
        </w:tc>
        <w:tc>
          <w:tcPr>
            <w:tcW w:w="1532" w:type="dxa"/>
            <w:tcBorders>
              <w:tl2br w:val="nil"/>
              <w:tr2bl w:val="nil"/>
            </w:tcBorders>
            <w:noWrap w:val="0"/>
            <w:vAlign w:val="top"/>
          </w:tcPr>
          <w:p>
            <w:pPr>
              <w:pStyle w:val="9"/>
              <w:rPr>
                <w:rFonts w:ascii="Times New Roman"/>
                <w:sz w:val="22"/>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936" w:hRule="atLeast"/>
        </w:trPr>
        <w:tc>
          <w:tcPr>
            <w:tcW w:w="2008" w:type="dxa"/>
            <w:tcBorders>
              <w:tl2br w:val="nil"/>
              <w:tr2bl w:val="nil"/>
            </w:tcBorders>
            <w:noWrap w:val="0"/>
            <w:vAlign w:val="top"/>
          </w:tcPr>
          <w:p>
            <w:pPr>
              <w:pStyle w:val="9"/>
              <w:spacing w:before="2" w:line="242" w:lineRule="auto"/>
              <w:ind w:left="522" w:right="388" w:hanging="120"/>
              <w:rPr>
                <w:sz w:val="24"/>
                <w:highlight w:val="none"/>
              </w:rPr>
            </w:pPr>
            <w:r>
              <w:rPr>
                <w:spacing w:val="-4"/>
                <w:sz w:val="24"/>
                <w:highlight w:val="none"/>
              </w:rPr>
              <w:t>上年度职工</w:t>
            </w:r>
            <w:r>
              <w:rPr>
                <w:sz w:val="24"/>
                <w:highlight w:val="none"/>
              </w:rPr>
              <w:t>工资总额</w:t>
            </w:r>
          </w:p>
          <w:p>
            <w:pPr>
              <w:pStyle w:val="9"/>
              <w:spacing w:before="3" w:line="291" w:lineRule="exact"/>
              <w:ind w:left="743"/>
              <w:rPr>
                <w:rFonts w:ascii="Times New Roman" w:eastAsia="Times New Roman"/>
                <w:sz w:val="24"/>
                <w:highlight w:val="none"/>
              </w:rPr>
            </w:pPr>
            <w:r>
              <w:rPr>
                <w:rFonts w:ascii="Times New Roman" w:eastAsia="Times New Roman"/>
                <w:sz w:val="24"/>
                <w:highlight w:val="none"/>
              </w:rPr>
              <w:t>(</w:t>
            </w:r>
            <w:r>
              <w:rPr>
                <w:sz w:val="24"/>
                <w:highlight w:val="none"/>
              </w:rPr>
              <w:t>万元</w:t>
            </w:r>
            <w:r>
              <w:rPr>
                <w:rFonts w:ascii="Times New Roman" w:eastAsia="Times New Roman"/>
                <w:sz w:val="24"/>
                <w:highlight w:val="none"/>
              </w:rPr>
              <w:t>)</w:t>
            </w:r>
          </w:p>
        </w:tc>
        <w:tc>
          <w:tcPr>
            <w:tcW w:w="1926" w:type="dxa"/>
            <w:tcBorders>
              <w:tl2br w:val="nil"/>
              <w:tr2bl w:val="nil"/>
            </w:tcBorders>
            <w:noWrap w:val="0"/>
            <w:vAlign w:val="top"/>
          </w:tcPr>
          <w:p>
            <w:pPr>
              <w:pStyle w:val="9"/>
              <w:rPr>
                <w:rFonts w:ascii="Times New Roman"/>
                <w:sz w:val="22"/>
                <w:highlight w:val="none"/>
              </w:rPr>
            </w:pPr>
          </w:p>
        </w:tc>
        <w:tc>
          <w:tcPr>
            <w:tcW w:w="2948" w:type="dxa"/>
            <w:tcBorders>
              <w:tl2br w:val="nil"/>
              <w:tr2bl w:val="nil"/>
            </w:tcBorders>
            <w:noWrap w:val="0"/>
            <w:vAlign w:val="top"/>
          </w:tcPr>
          <w:p>
            <w:pPr>
              <w:pStyle w:val="9"/>
              <w:spacing w:before="2" w:line="242" w:lineRule="auto"/>
              <w:ind w:left="276" w:right="259"/>
              <w:jc w:val="center"/>
              <w:rPr>
                <w:sz w:val="24"/>
                <w:highlight w:val="none"/>
              </w:rPr>
            </w:pPr>
            <w:r>
              <w:rPr>
                <w:sz w:val="24"/>
                <w:highlight w:val="none"/>
              </w:rPr>
              <w:t>参加企业年金集合计划人员上年度工资总额</w:t>
            </w:r>
          </w:p>
          <w:p>
            <w:pPr>
              <w:pStyle w:val="9"/>
              <w:spacing w:before="3" w:line="291" w:lineRule="exact"/>
              <w:ind w:left="276" w:right="259"/>
              <w:jc w:val="center"/>
              <w:rPr>
                <w:rFonts w:ascii="Times New Roman" w:eastAsia="Times New Roman"/>
                <w:sz w:val="24"/>
                <w:highlight w:val="none"/>
              </w:rPr>
            </w:pPr>
            <w:r>
              <w:rPr>
                <w:rFonts w:ascii="Times New Roman" w:eastAsia="Times New Roman"/>
                <w:sz w:val="24"/>
                <w:highlight w:val="none"/>
              </w:rPr>
              <w:t>(</w:t>
            </w:r>
            <w:r>
              <w:rPr>
                <w:sz w:val="24"/>
                <w:highlight w:val="none"/>
              </w:rPr>
              <w:t>万元</w:t>
            </w:r>
            <w:r>
              <w:rPr>
                <w:rFonts w:ascii="Times New Roman" w:eastAsia="Times New Roman"/>
                <w:sz w:val="24"/>
                <w:highlight w:val="none"/>
              </w:rPr>
              <w:t>)</w:t>
            </w:r>
          </w:p>
        </w:tc>
        <w:tc>
          <w:tcPr>
            <w:tcW w:w="1532" w:type="dxa"/>
            <w:tcBorders>
              <w:tl2br w:val="nil"/>
              <w:tr2bl w:val="nil"/>
            </w:tcBorders>
            <w:noWrap w:val="0"/>
            <w:vAlign w:val="top"/>
          </w:tcPr>
          <w:p>
            <w:pPr>
              <w:pStyle w:val="9"/>
              <w:rPr>
                <w:rFonts w:ascii="Times New Roman"/>
                <w:sz w:val="22"/>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2008" w:type="dxa"/>
            <w:tcBorders>
              <w:tl2br w:val="nil"/>
              <w:tr2bl w:val="nil"/>
            </w:tcBorders>
            <w:noWrap w:val="0"/>
            <w:vAlign w:val="top"/>
          </w:tcPr>
          <w:p>
            <w:pPr>
              <w:pStyle w:val="9"/>
              <w:spacing w:before="97"/>
              <w:ind w:left="262" w:right="250"/>
              <w:jc w:val="center"/>
              <w:rPr>
                <w:sz w:val="24"/>
                <w:highlight w:val="none"/>
              </w:rPr>
            </w:pPr>
            <w:r>
              <w:rPr>
                <w:sz w:val="24"/>
                <w:highlight w:val="none"/>
              </w:rPr>
              <w:t>经办人</w:t>
            </w:r>
          </w:p>
        </w:tc>
        <w:tc>
          <w:tcPr>
            <w:tcW w:w="1926" w:type="dxa"/>
            <w:tcBorders>
              <w:tl2br w:val="nil"/>
              <w:tr2bl w:val="nil"/>
            </w:tcBorders>
            <w:noWrap w:val="0"/>
            <w:vAlign w:val="top"/>
          </w:tcPr>
          <w:p>
            <w:pPr>
              <w:pStyle w:val="9"/>
              <w:rPr>
                <w:rFonts w:ascii="Times New Roman"/>
                <w:sz w:val="22"/>
                <w:highlight w:val="none"/>
              </w:rPr>
            </w:pPr>
          </w:p>
        </w:tc>
        <w:tc>
          <w:tcPr>
            <w:tcW w:w="2948" w:type="dxa"/>
            <w:tcBorders>
              <w:tl2br w:val="nil"/>
              <w:tr2bl w:val="nil"/>
            </w:tcBorders>
            <w:noWrap w:val="0"/>
            <w:vAlign w:val="top"/>
          </w:tcPr>
          <w:p>
            <w:pPr>
              <w:pStyle w:val="9"/>
              <w:spacing w:before="97"/>
              <w:ind w:left="274" w:right="259"/>
              <w:jc w:val="center"/>
              <w:rPr>
                <w:sz w:val="24"/>
                <w:highlight w:val="none"/>
              </w:rPr>
            </w:pPr>
            <w:r>
              <w:rPr>
                <w:sz w:val="24"/>
                <w:highlight w:val="none"/>
              </w:rPr>
              <w:t>联系电话</w:t>
            </w:r>
          </w:p>
        </w:tc>
        <w:tc>
          <w:tcPr>
            <w:tcW w:w="1532" w:type="dxa"/>
            <w:tcBorders>
              <w:tl2br w:val="nil"/>
              <w:tr2bl w:val="nil"/>
            </w:tcBorders>
            <w:noWrap w:val="0"/>
            <w:vAlign w:val="top"/>
          </w:tcPr>
          <w:p>
            <w:pPr>
              <w:pStyle w:val="9"/>
              <w:rPr>
                <w:rFonts w:ascii="Times New Roman"/>
                <w:sz w:val="22"/>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2008" w:type="dxa"/>
            <w:tcBorders>
              <w:tl2br w:val="nil"/>
              <w:tr2bl w:val="nil"/>
            </w:tcBorders>
            <w:noWrap w:val="0"/>
            <w:vAlign w:val="top"/>
          </w:tcPr>
          <w:p>
            <w:pPr>
              <w:pStyle w:val="9"/>
              <w:spacing w:before="101"/>
              <w:ind w:left="262" w:right="250"/>
              <w:jc w:val="center"/>
              <w:rPr>
                <w:sz w:val="24"/>
                <w:highlight w:val="none"/>
              </w:rPr>
            </w:pPr>
            <w:r>
              <w:rPr>
                <w:sz w:val="24"/>
                <w:highlight w:val="none"/>
              </w:rPr>
              <w:t>通讯地址</w:t>
            </w:r>
          </w:p>
        </w:tc>
        <w:tc>
          <w:tcPr>
            <w:tcW w:w="6406" w:type="dxa"/>
            <w:gridSpan w:val="3"/>
            <w:tcBorders>
              <w:tl2br w:val="nil"/>
              <w:tr2bl w:val="nil"/>
            </w:tcBorders>
            <w:noWrap w:val="0"/>
            <w:vAlign w:val="top"/>
          </w:tcPr>
          <w:p>
            <w:pPr>
              <w:pStyle w:val="9"/>
              <w:rPr>
                <w:rFonts w:ascii="Times New Roman"/>
                <w:sz w:val="22"/>
                <w:highlight w:val="none"/>
              </w:rPr>
            </w:pPr>
          </w:p>
        </w:tc>
      </w:tr>
      <w:tr>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2008" w:type="dxa"/>
            <w:tcBorders>
              <w:tl2br w:val="nil"/>
              <w:tr2bl w:val="nil"/>
            </w:tcBorders>
            <w:noWrap w:val="0"/>
            <w:vAlign w:val="top"/>
          </w:tcPr>
          <w:p>
            <w:pPr>
              <w:pStyle w:val="9"/>
              <w:rPr>
                <w:rFonts w:ascii="黑体"/>
                <w:sz w:val="24"/>
                <w:highlight w:val="none"/>
              </w:rPr>
            </w:pPr>
          </w:p>
          <w:p>
            <w:pPr>
              <w:pStyle w:val="9"/>
              <w:rPr>
                <w:rFonts w:ascii="黑体"/>
                <w:sz w:val="24"/>
                <w:highlight w:val="none"/>
              </w:rPr>
            </w:pPr>
          </w:p>
          <w:p>
            <w:pPr>
              <w:pStyle w:val="9"/>
              <w:rPr>
                <w:rFonts w:ascii="黑体"/>
                <w:sz w:val="24"/>
                <w:highlight w:val="none"/>
              </w:rPr>
            </w:pPr>
          </w:p>
          <w:p>
            <w:pPr>
              <w:pStyle w:val="9"/>
              <w:rPr>
                <w:rFonts w:ascii="黑体"/>
                <w:sz w:val="24"/>
                <w:highlight w:val="none"/>
              </w:rPr>
            </w:pPr>
          </w:p>
          <w:p>
            <w:pPr>
              <w:pStyle w:val="9"/>
              <w:spacing w:before="3"/>
              <w:rPr>
                <w:rFonts w:ascii="黑体"/>
                <w:sz w:val="21"/>
                <w:highlight w:val="none"/>
              </w:rPr>
            </w:pPr>
          </w:p>
          <w:p>
            <w:pPr>
              <w:pStyle w:val="9"/>
              <w:spacing w:line="242" w:lineRule="auto"/>
              <w:ind w:left="762" w:right="748"/>
              <w:jc w:val="center"/>
              <w:rPr>
                <w:sz w:val="24"/>
                <w:highlight w:val="none"/>
              </w:rPr>
            </w:pPr>
          </w:p>
          <w:p>
            <w:pPr>
              <w:pStyle w:val="9"/>
              <w:spacing w:line="242" w:lineRule="auto"/>
              <w:ind w:left="762" w:right="748"/>
              <w:jc w:val="center"/>
              <w:rPr>
                <w:sz w:val="24"/>
                <w:highlight w:val="none"/>
              </w:rPr>
            </w:pPr>
            <w:r>
              <w:rPr>
                <w:sz w:val="24"/>
                <w:highlight w:val="none"/>
              </w:rPr>
              <w:t>申请内容</w:t>
            </w:r>
          </w:p>
        </w:tc>
        <w:tc>
          <w:tcPr>
            <w:tcW w:w="6406" w:type="dxa"/>
            <w:gridSpan w:val="3"/>
            <w:tcBorders>
              <w:tl2br w:val="nil"/>
              <w:tr2bl w:val="nil"/>
            </w:tcBorders>
            <w:noWrap w:val="0"/>
            <w:vAlign w:val="top"/>
          </w:tcPr>
          <w:p>
            <w:pPr>
              <w:pStyle w:val="9"/>
              <w:keepNext w:val="0"/>
              <w:keepLines w:val="0"/>
              <w:pageBreakBefore w:val="0"/>
              <w:widowControl w:val="0"/>
              <w:tabs>
                <w:tab w:val="left" w:pos="2335"/>
                <w:tab w:val="left" w:pos="3560"/>
                <w:tab w:val="left" w:pos="4786"/>
              </w:tabs>
              <w:kinsoku/>
              <w:wordWrap/>
              <w:overflowPunct/>
              <w:topLinePunct w:val="0"/>
              <w:autoSpaceDE/>
              <w:autoSpaceDN/>
              <w:bidi w:val="0"/>
              <w:adjustRightInd/>
              <w:snapToGrid w:val="0"/>
              <w:spacing w:before="92" w:line="360" w:lineRule="auto"/>
              <w:ind w:left="112" w:right="74" w:firstLine="480" w:firstLineChars="200"/>
              <w:textAlignment w:val="auto"/>
              <w:rPr>
                <w:rFonts w:hint="eastAsia" w:ascii="仿宋_GB2312" w:hAnsi="仿宋_GB2312" w:eastAsia="仿宋_GB2312" w:cs="仿宋_GB2312"/>
                <w:spacing w:val="12"/>
                <w:sz w:val="24"/>
                <w:szCs w:val="24"/>
                <w:highlight w:val="none"/>
                <w:lang w:val="en-US" w:eastAsia="zh-CN"/>
              </w:rPr>
            </w:pPr>
            <w:r>
              <w:rPr>
                <w:rFonts w:hint="eastAsia" w:ascii="仿宋_GB2312" w:hAnsi="仿宋_GB2312" w:eastAsia="仿宋_GB2312" w:cs="仿宋_GB2312"/>
                <w:sz w:val="24"/>
                <w:szCs w:val="24"/>
                <w:highlight w:val="none"/>
                <w:lang w:val="en-US" w:eastAsia="zh-CN"/>
              </w:rPr>
              <w:t>按照《常熟市企业人才参加企业年金集合计划办法（试行）</w:t>
            </w:r>
            <w:r>
              <w:rPr>
                <w:rFonts w:hint="eastAsia" w:ascii="仿宋_GB2312" w:hAnsi="仿宋_GB2312" w:eastAsia="仿宋_GB2312" w:cs="仿宋_GB2312"/>
                <w:spacing w:val="-17"/>
                <w:sz w:val="24"/>
                <w:szCs w:val="24"/>
                <w:highlight w:val="none"/>
              </w:rPr>
              <w:t>》</w:t>
            </w:r>
            <w:r>
              <w:rPr>
                <w:rFonts w:hint="eastAsia" w:ascii="仿宋_GB2312" w:hAnsi="仿宋_GB2312" w:eastAsia="仿宋_GB2312" w:cs="仿宋_GB2312"/>
                <w:sz w:val="24"/>
                <w:szCs w:val="24"/>
                <w:highlight w:val="none"/>
              </w:rPr>
              <w:t>规定</w:t>
            </w:r>
            <w:r>
              <w:rPr>
                <w:rFonts w:hint="eastAsia" w:ascii="仿宋_GB2312" w:hAnsi="仿宋_GB2312" w:eastAsia="仿宋_GB2312" w:cs="仿宋_GB2312"/>
                <w:spacing w:val="-17"/>
                <w:sz w:val="24"/>
                <w:szCs w:val="24"/>
                <w:highlight w:val="none"/>
              </w:rPr>
              <w:t>，</w:t>
            </w:r>
            <w:r>
              <w:rPr>
                <w:rFonts w:hint="eastAsia" w:ascii="仿宋_GB2312" w:hAnsi="仿宋_GB2312" w:eastAsia="仿宋_GB2312" w:cs="仿宋_GB2312"/>
                <w:spacing w:val="-17"/>
                <w:sz w:val="24"/>
                <w:szCs w:val="24"/>
                <w:highlight w:val="none"/>
                <w:lang w:val="en-US" w:eastAsia="zh-CN"/>
              </w:rPr>
              <w:t xml:space="preserve">拟定本单位 </w:t>
            </w:r>
            <w:r>
              <w:rPr>
                <w:rFonts w:hint="eastAsia" w:ascii="仿宋_GB2312" w:hAnsi="仿宋_GB2312" w:eastAsia="仿宋_GB2312" w:cs="仿宋_GB2312"/>
                <w:spacing w:val="-17"/>
                <w:sz w:val="24"/>
                <w:szCs w:val="24"/>
                <w:highlight w:val="none"/>
                <w:u w:val="none"/>
                <w:lang w:val="en-US" w:eastAsia="zh-CN"/>
              </w:rPr>
              <w:t xml:space="preserve"> </w:t>
            </w:r>
            <w:r>
              <w:rPr>
                <w:rFonts w:hint="eastAsia" w:ascii="仿宋_GB2312" w:hAnsi="仿宋_GB2312" w:eastAsia="仿宋_GB2312" w:cs="仿宋_GB2312"/>
                <w:spacing w:val="-17"/>
                <w:sz w:val="24"/>
                <w:szCs w:val="24"/>
                <w:highlight w:val="none"/>
                <w:u w:val="single"/>
                <w:lang w:val="en-US" w:eastAsia="zh-CN"/>
              </w:rPr>
              <w:t xml:space="preserve">            </w:t>
            </w:r>
            <w:r>
              <w:rPr>
                <w:rFonts w:hint="eastAsia" w:ascii="仿宋_GB2312" w:hAnsi="仿宋_GB2312" w:eastAsia="仿宋_GB2312" w:cs="仿宋_GB2312"/>
                <w:spacing w:val="-17"/>
                <w:sz w:val="24"/>
                <w:szCs w:val="24"/>
                <w:highlight w:val="none"/>
                <w:u w:val="none"/>
                <w:lang w:val="en-US" w:eastAsia="zh-CN"/>
              </w:rPr>
              <w:t xml:space="preserve">  等 </w:t>
            </w:r>
            <w:r>
              <w:rPr>
                <w:rFonts w:hint="eastAsia" w:ascii="仿宋_GB2312" w:hAnsi="仿宋_GB2312" w:eastAsia="仿宋_GB2312" w:cs="仿宋_GB2312"/>
                <w:spacing w:val="-17"/>
                <w:sz w:val="24"/>
                <w:szCs w:val="24"/>
                <w:highlight w:val="none"/>
                <w:u w:val="single"/>
                <w:lang w:val="en-US" w:eastAsia="zh-CN"/>
              </w:rPr>
              <w:t xml:space="preserve">       </w:t>
            </w:r>
            <w:r>
              <w:rPr>
                <w:rFonts w:hint="eastAsia" w:ascii="仿宋_GB2312" w:hAnsi="仿宋_GB2312" w:eastAsia="仿宋_GB2312" w:cs="仿宋_GB2312"/>
                <w:spacing w:val="-17"/>
                <w:sz w:val="24"/>
                <w:szCs w:val="24"/>
                <w:highlight w:val="none"/>
                <w:u w:val="none"/>
                <w:lang w:val="en-US" w:eastAsia="zh-CN"/>
              </w:rPr>
              <w:t xml:space="preserve"> 人</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人员名单附后</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参加常熟市</w:t>
            </w:r>
            <w:r>
              <w:rPr>
                <w:rFonts w:hint="eastAsia" w:ascii="仿宋_GB2312" w:hAnsi="仿宋_GB2312" w:eastAsia="仿宋_GB2312" w:cs="仿宋_GB2312"/>
                <w:sz w:val="24"/>
                <w:szCs w:val="24"/>
                <w:highlight w:val="none"/>
                <w:lang w:eastAsia="zh-CN"/>
              </w:rPr>
              <w:t>企业年金集合</w:t>
            </w:r>
            <w:r>
              <w:rPr>
                <w:rFonts w:hint="eastAsia" w:ascii="仿宋_GB2312" w:hAnsi="仿宋_GB2312" w:eastAsia="仿宋_GB2312" w:cs="仿宋_GB2312"/>
                <w:sz w:val="24"/>
                <w:szCs w:val="24"/>
                <w:highlight w:val="none"/>
              </w:rPr>
              <w:t>计划</w:t>
            </w:r>
            <w:r>
              <w:rPr>
                <w:rFonts w:hint="eastAsia" w:ascii="仿宋_GB2312" w:hAnsi="仿宋_GB2312" w:eastAsia="仿宋_GB2312" w:cs="仿宋_GB2312"/>
                <w:spacing w:val="12"/>
                <w:sz w:val="24"/>
                <w:szCs w:val="24"/>
                <w:highlight w:val="none"/>
              </w:rPr>
              <w:t>，</w:t>
            </w:r>
            <w:r>
              <w:rPr>
                <w:rFonts w:hint="eastAsia" w:ascii="仿宋_GB2312" w:hAnsi="仿宋_GB2312" w:eastAsia="仿宋_GB2312" w:cs="仿宋_GB2312"/>
                <w:spacing w:val="12"/>
                <w:sz w:val="24"/>
                <w:szCs w:val="24"/>
                <w:highlight w:val="none"/>
                <w:lang w:val="en-US" w:eastAsia="zh-CN"/>
              </w:rPr>
              <w:t>按照《</w:t>
            </w:r>
            <w:r>
              <w:rPr>
                <w:rFonts w:hint="eastAsia" w:ascii="仿宋_GB2312" w:hAnsi="仿宋_GB2312" w:eastAsia="仿宋_GB2312" w:cs="仿宋_GB2312"/>
                <w:sz w:val="24"/>
                <w:szCs w:val="24"/>
                <w:highlight w:val="none"/>
                <w:lang w:val="en-US" w:eastAsia="zh-CN"/>
              </w:rPr>
              <w:t>常熟市企业人才参加企业年金集合计划</w:t>
            </w:r>
            <w:r>
              <w:rPr>
                <w:rFonts w:hint="eastAsia" w:ascii="仿宋_GB2312" w:hAnsi="仿宋_GB2312" w:eastAsia="仿宋_GB2312" w:cs="仿宋_GB2312"/>
                <w:spacing w:val="12"/>
                <w:sz w:val="24"/>
                <w:szCs w:val="24"/>
                <w:highlight w:val="none"/>
                <w:lang w:val="en-US" w:eastAsia="zh-CN"/>
              </w:rPr>
              <w:t>方案》内容实施运行，其中</w:t>
            </w:r>
            <w:r>
              <w:rPr>
                <w:rFonts w:hint="eastAsia" w:ascii="仿宋_GB2312" w:hAnsi="仿宋_GB2312" w:eastAsia="仿宋_GB2312" w:cs="仿宋_GB2312"/>
                <w:spacing w:val="12"/>
                <w:sz w:val="24"/>
                <w:szCs w:val="24"/>
                <w:highlight w:val="none"/>
                <w:lang w:eastAsia="zh-CN"/>
              </w:rPr>
              <w:t>企业年金个人账户中的</w:t>
            </w:r>
            <w:r>
              <w:rPr>
                <w:rFonts w:hint="eastAsia" w:ascii="仿宋_GB2312" w:hAnsi="仿宋_GB2312" w:eastAsia="仿宋_GB2312" w:cs="仿宋_GB2312"/>
                <w:spacing w:val="12"/>
                <w:sz w:val="24"/>
                <w:szCs w:val="24"/>
                <w:highlight w:val="none"/>
                <w:lang w:val="en-US" w:eastAsia="zh-CN"/>
              </w:rPr>
              <w:t xml:space="preserve">企业缴费及其投资收益的完全归属期为 </w:t>
            </w:r>
            <w:r>
              <w:rPr>
                <w:rFonts w:hint="eastAsia" w:ascii="仿宋_GB2312" w:hAnsi="仿宋_GB2312" w:eastAsia="仿宋_GB2312" w:cs="仿宋_GB2312"/>
                <w:spacing w:val="-17"/>
                <w:sz w:val="24"/>
                <w:szCs w:val="24"/>
                <w:highlight w:val="none"/>
                <w:u w:val="single"/>
                <w:lang w:val="en-US" w:eastAsia="zh-CN"/>
              </w:rPr>
              <w:t xml:space="preserve">       </w:t>
            </w:r>
            <w:r>
              <w:rPr>
                <w:rFonts w:hint="eastAsia" w:ascii="仿宋_GB2312" w:hAnsi="仿宋_GB2312" w:eastAsia="仿宋_GB2312" w:cs="仿宋_GB2312"/>
                <w:spacing w:val="-17"/>
                <w:sz w:val="24"/>
                <w:szCs w:val="24"/>
                <w:highlight w:val="none"/>
                <w:u w:val="none"/>
                <w:lang w:val="en-US" w:eastAsia="zh-CN"/>
              </w:rPr>
              <w:t xml:space="preserve"> 年。</w:t>
            </w:r>
          </w:p>
          <w:p>
            <w:pPr>
              <w:pStyle w:val="9"/>
              <w:keepNext w:val="0"/>
              <w:keepLines w:val="0"/>
              <w:pageBreakBefore w:val="0"/>
              <w:widowControl w:val="0"/>
              <w:tabs>
                <w:tab w:val="left" w:pos="2335"/>
                <w:tab w:val="left" w:pos="3560"/>
                <w:tab w:val="left" w:pos="4786"/>
              </w:tabs>
              <w:kinsoku/>
              <w:wordWrap/>
              <w:overflowPunct/>
              <w:topLinePunct w:val="0"/>
              <w:autoSpaceDE/>
              <w:autoSpaceDN/>
              <w:bidi w:val="0"/>
              <w:adjustRightInd/>
              <w:snapToGrid w:val="0"/>
              <w:spacing w:before="92" w:line="360" w:lineRule="auto"/>
              <w:ind w:left="112" w:right="74" w:firstLine="532" w:firstLineChars="20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pacing w:val="13"/>
                <w:sz w:val="24"/>
                <w:szCs w:val="24"/>
                <w:highlight w:val="none"/>
                <w:u w:val="none"/>
                <w:lang w:val="en-US" w:eastAsia="zh-CN"/>
              </w:rPr>
              <w:t>上述决议于</w:t>
            </w:r>
            <w:r>
              <w:rPr>
                <w:rFonts w:hint="eastAsia" w:ascii="仿宋_GB2312" w:hAnsi="仿宋_GB2312" w:eastAsia="仿宋_GB2312" w:cs="仿宋_GB2312"/>
                <w:spacing w:val="13"/>
                <w:sz w:val="24"/>
                <w:szCs w:val="24"/>
                <w:highlight w:val="none"/>
                <w:u w:val="single"/>
              </w:rPr>
              <w:t xml:space="preserve"> </w:t>
            </w:r>
            <w:r>
              <w:rPr>
                <w:rFonts w:hint="eastAsia" w:ascii="仿宋_GB2312" w:hAnsi="仿宋_GB2312" w:eastAsia="仿宋_GB2312" w:cs="仿宋_GB2312"/>
                <w:spacing w:val="13"/>
                <w:sz w:val="24"/>
                <w:szCs w:val="24"/>
                <w:highlight w:val="none"/>
                <w:u w:val="single"/>
              </w:rPr>
              <w:tab/>
            </w:r>
            <w:r>
              <w:rPr>
                <w:rFonts w:hint="eastAsia" w:ascii="仿宋_GB2312" w:hAnsi="仿宋_GB2312" w:eastAsia="仿宋_GB2312" w:cs="仿宋_GB2312"/>
                <w:spacing w:val="13"/>
                <w:sz w:val="24"/>
                <w:szCs w:val="24"/>
                <w:highlight w:val="none"/>
                <w:u w:val="single"/>
                <w:lang w:val="en-US" w:eastAsia="zh-CN"/>
              </w:rPr>
              <w:t xml:space="preserve">   </w:t>
            </w:r>
            <w:r>
              <w:rPr>
                <w:rFonts w:hint="eastAsia" w:ascii="仿宋_GB2312" w:hAnsi="仿宋_GB2312" w:eastAsia="仿宋_GB2312" w:cs="仿宋_GB2312"/>
                <w:spacing w:val="13"/>
                <w:sz w:val="24"/>
                <w:szCs w:val="24"/>
                <w:highlight w:val="none"/>
              </w:rPr>
              <w:t>年</w:t>
            </w:r>
            <w:r>
              <w:rPr>
                <w:rFonts w:hint="eastAsia" w:ascii="仿宋_GB2312" w:hAnsi="仿宋_GB2312" w:eastAsia="仿宋_GB2312" w:cs="仿宋_GB2312"/>
                <w:spacing w:val="13"/>
                <w:sz w:val="24"/>
                <w:szCs w:val="24"/>
                <w:highlight w:val="none"/>
                <w:u w:val="single"/>
              </w:rPr>
              <w:t xml:space="preserve"> </w:t>
            </w:r>
            <w:r>
              <w:rPr>
                <w:rFonts w:hint="eastAsia" w:ascii="仿宋_GB2312" w:hAnsi="仿宋_GB2312" w:eastAsia="仿宋_GB2312" w:cs="仿宋_GB2312"/>
                <w:spacing w:val="13"/>
                <w:sz w:val="24"/>
                <w:szCs w:val="24"/>
                <w:highlight w:val="none"/>
                <w:u w:val="single"/>
              </w:rPr>
              <w:tab/>
            </w:r>
            <w:r>
              <w:rPr>
                <w:rFonts w:hint="eastAsia" w:ascii="仿宋_GB2312" w:hAnsi="仿宋_GB2312" w:eastAsia="仿宋_GB2312" w:cs="仿宋_GB2312"/>
                <w:spacing w:val="13"/>
                <w:sz w:val="24"/>
                <w:szCs w:val="24"/>
                <w:highlight w:val="none"/>
                <w:u w:val="single"/>
                <w:lang w:val="en-US" w:eastAsia="zh-CN"/>
              </w:rPr>
              <w:t xml:space="preserve"> </w:t>
            </w:r>
            <w:r>
              <w:rPr>
                <w:rFonts w:hint="eastAsia" w:ascii="仿宋_GB2312" w:hAnsi="仿宋_GB2312" w:eastAsia="仿宋_GB2312" w:cs="仿宋_GB2312"/>
                <w:spacing w:val="13"/>
                <w:sz w:val="24"/>
                <w:szCs w:val="24"/>
                <w:highlight w:val="none"/>
              </w:rPr>
              <w:t>月</w:t>
            </w:r>
            <w:r>
              <w:rPr>
                <w:rFonts w:hint="eastAsia" w:ascii="仿宋_GB2312" w:hAnsi="仿宋_GB2312" w:eastAsia="仿宋_GB2312" w:cs="仿宋_GB2312"/>
                <w:spacing w:val="13"/>
                <w:sz w:val="24"/>
                <w:szCs w:val="24"/>
                <w:highlight w:val="none"/>
                <w:u w:val="single"/>
              </w:rPr>
              <w:t xml:space="preserve"> </w:t>
            </w:r>
            <w:r>
              <w:rPr>
                <w:rFonts w:hint="eastAsia" w:ascii="仿宋_GB2312" w:hAnsi="仿宋_GB2312" w:eastAsia="仿宋_GB2312" w:cs="仿宋_GB2312"/>
                <w:spacing w:val="13"/>
                <w:sz w:val="24"/>
                <w:szCs w:val="24"/>
                <w:highlight w:val="none"/>
                <w:u w:val="single"/>
                <w:lang w:val="en-US" w:eastAsia="zh-CN"/>
              </w:rPr>
              <w:t xml:space="preserve">    </w:t>
            </w:r>
            <w:r>
              <w:rPr>
                <w:rFonts w:hint="eastAsia" w:ascii="仿宋_GB2312" w:hAnsi="仿宋_GB2312" w:eastAsia="仿宋_GB2312" w:cs="仿宋_GB2312"/>
                <w:spacing w:val="12"/>
                <w:sz w:val="24"/>
                <w:szCs w:val="24"/>
                <w:highlight w:val="none"/>
              </w:rPr>
              <w:t>日经职工代表大会或全体职工</w:t>
            </w:r>
            <w:r>
              <w:rPr>
                <w:rFonts w:hint="eastAsia" w:ascii="仿宋_GB2312" w:hAnsi="仿宋_GB2312" w:eastAsia="仿宋_GB2312" w:cs="仿宋_GB2312"/>
                <w:sz w:val="24"/>
                <w:szCs w:val="24"/>
                <w:highlight w:val="none"/>
              </w:rPr>
              <w:t>讨论通过，</w:t>
            </w:r>
            <w:r>
              <w:rPr>
                <w:rFonts w:hint="eastAsia" w:ascii="仿宋_GB2312" w:hAnsi="仿宋_GB2312" w:eastAsia="仿宋_GB2312" w:cs="仿宋_GB2312"/>
                <w:sz w:val="24"/>
                <w:szCs w:val="24"/>
                <w:highlight w:val="none"/>
                <w:lang w:val="en-US" w:eastAsia="zh-CN"/>
              </w:rPr>
              <w:t>特此申请</w:t>
            </w:r>
            <w:r>
              <w:rPr>
                <w:rFonts w:hint="eastAsia" w:ascii="仿宋_GB2312" w:hAnsi="仿宋_GB2312" w:eastAsia="仿宋_GB2312" w:cs="仿宋_GB2312"/>
                <w:sz w:val="24"/>
                <w:szCs w:val="24"/>
                <w:highlight w:val="none"/>
              </w:rPr>
              <w:t>。</w:t>
            </w:r>
          </w:p>
          <w:p>
            <w:pPr>
              <w:pStyle w:val="9"/>
              <w:spacing w:before="4"/>
              <w:rPr>
                <w:rFonts w:ascii="黑体"/>
                <w:sz w:val="25"/>
                <w:highlight w:val="none"/>
              </w:rPr>
            </w:pPr>
          </w:p>
          <w:p>
            <w:pPr>
              <w:pStyle w:val="9"/>
              <w:keepNext w:val="0"/>
              <w:keepLines w:val="0"/>
              <w:pageBreakBefore w:val="0"/>
              <w:widowControl w:val="0"/>
              <w:tabs>
                <w:tab w:val="left" w:pos="4432"/>
                <w:tab w:val="left" w:pos="4502"/>
                <w:tab w:val="left" w:pos="5222"/>
              </w:tabs>
              <w:kinsoku/>
              <w:wordWrap/>
              <w:overflowPunct/>
              <w:topLinePunct w:val="0"/>
              <w:autoSpaceDE/>
              <w:autoSpaceDN/>
              <w:bidi w:val="0"/>
              <w:adjustRightInd/>
              <w:snapToGrid/>
              <w:spacing w:line="240" w:lineRule="auto"/>
              <w:ind w:left="3781" w:right="516" w:hanging="3430"/>
              <w:textAlignment w:val="auto"/>
              <w:rPr>
                <w:rFonts w:hint="eastAsia"/>
                <w:sz w:val="24"/>
                <w:highlight w:val="none"/>
                <w:lang w:eastAsia="zh-CN"/>
              </w:rPr>
            </w:pPr>
            <w:r>
              <w:rPr>
                <w:rFonts w:hint="eastAsia"/>
                <w:sz w:val="24"/>
                <w:highlight w:val="none"/>
                <w:lang w:eastAsia="zh-CN"/>
              </w:rPr>
              <w:t>法定代表人：</w:t>
            </w:r>
          </w:p>
          <w:p>
            <w:pPr>
              <w:pStyle w:val="9"/>
              <w:keepNext w:val="0"/>
              <w:keepLines w:val="0"/>
              <w:pageBreakBefore w:val="0"/>
              <w:widowControl w:val="0"/>
              <w:tabs>
                <w:tab w:val="left" w:pos="4432"/>
                <w:tab w:val="left" w:pos="4502"/>
                <w:tab w:val="left" w:pos="5222"/>
              </w:tabs>
              <w:kinsoku/>
              <w:wordWrap/>
              <w:overflowPunct/>
              <w:topLinePunct w:val="0"/>
              <w:autoSpaceDE/>
              <w:autoSpaceDN/>
              <w:bidi w:val="0"/>
              <w:adjustRightInd/>
              <w:snapToGrid/>
              <w:spacing w:line="240" w:lineRule="auto"/>
              <w:ind w:left="4091" w:leftChars="114" w:right="516" w:hanging="3840" w:hangingChars="1600"/>
              <w:textAlignment w:val="auto"/>
              <w:rPr>
                <w:spacing w:val="-17"/>
                <w:sz w:val="24"/>
                <w:highlight w:val="none"/>
              </w:rPr>
            </w:pPr>
            <w:r>
              <w:rPr>
                <w:rFonts w:hint="eastAsia"/>
                <w:sz w:val="24"/>
                <w:highlight w:val="none"/>
                <w:lang w:eastAsia="zh-CN"/>
              </w:rPr>
              <w:t>（签字盖章）</w:t>
            </w:r>
            <w:r>
              <w:rPr>
                <w:rFonts w:hint="eastAsia"/>
                <w:sz w:val="24"/>
                <w:highlight w:val="none"/>
                <w:lang w:val="en-US" w:eastAsia="zh-CN"/>
              </w:rPr>
              <w:t xml:space="preserve">                 </w:t>
            </w:r>
            <w:r>
              <w:rPr>
                <w:sz w:val="24"/>
                <w:highlight w:val="none"/>
              </w:rPr>
              <w:t>（</w:t>
            </w:r>
            <w:r>
              <w:rPr>
                <w:rFonts w:hint="eastAsia"/>
                <w:sz w:val="24"/>
                <w:highlight w:val="none"/>
                <w:lang w:eastAsia="zh-CN"/>
              </w:rPr>
              <w:t>职代会或企业</w:t>
            </w:r>
            <w:r>
              <w:rPr>
                <w:sz w:val="24"/>
                <w:highlight w:val="none"/>
              </w:rPr>
              <w:t>盖章</w:t>
            </w:r>
            <w:r>
              <w:rPr>
                <w:spacing w:val="-17"/>
                <w:sz w:val="24"/>
                <w:highlight w:val="none"/>
              </w:rPr>
              <w:t>）</w:t>
            </w:r>
          </w:p>
          <w:p>
            <w:pPr>
              <w:pStyle w:val="9"/>
              <w:keepNext w:val="0"/>
              <w:keepLines w:val="0"/>
              <w:pageBreakBefore w:val="0"/>
              <w:widowControl w:val="0"/>
              <w:tabs>
                <w:tab w:val="left" w:pos="4432"/>
                <w:tab w:val="left" w:pos="4502"/>
                <w:tab w:val="left" w:pos="5222"/>
              </w:tabs>
              <w:kinsoku/>
              <w:wordWrap/>
              <w:overflowPunct/>
              <w:topLinePunct w:val="0"/>
              <w:autoSpaceDE/>
              <w:autoSpaceDN/>
              <w:bidi w:val="0"/>
              <w:adjustRightInd/>
              <w:snapToGrid/>
              <w:spacing w:line="240" w:lineRule="auto"/>
              <w:ind w:left="3547" w:leftChars="114" w:right="516" w:hanging="3296" w:hangingChars="1600"/>
              <w:textAlignment w:val="auto"/>
              <w:rPr>
                <w:rFonts w:hint="default" w:eastAsia="仿宋_GB2312"/>
                <w:spacing w:val="-17"/>
                <w:sz w:val="24"/>
                <w:highlight w:val="none"/>
                <w:lang w:val="en-US" w:eastAsia="zh-CN"/>
              </w:rPr>
            </w:pPr>
            <w:r>
              <w:rPr>
                <w:rFonts w:hint="eastAsia"/>
                <w:spacing w:val="-17"/>
                <w:sz w:val="24"/>
                <w:highlight w:val="none"/>
                <w:lang w:val="en-US" w:eastAsia="zh-CN"/>
              </w:rPr>
              <w:t xml:space="preserve">                                               年     月      日</w:t>
            </w:r>
          </w:p>
        </w:tc>
      </w:tr>
    </w:tbl>
    <w:p>
      <w:pPr>
        <w:keepNext w:val="0"/>
        <w:keepLines w:val="0"/>
        <w:pageBreakBefore w:val="0"/>
        <w:widowControl w:val="0"/>
        <w:kinsoku/>
        <w:wordWrap/>
        <w:overflowPunct/>
        <w:topLinePunct w:val="0"/>
        <w:autoSpaceDE/>
        <w:autoSpaceDN/>
        <w:bidi w:val="0"/>
        <w:adjustRightInd/>
        <w:snapToGrid/>
        <w:spacing w:before="235" w:line="180" w:lineRule="exact"/>
        <w:ind w:right="0" w:firstLine="420" w:firstLineChars="200"/>
        <w:jc w:val="left"/>
        <w:textAlignment w:val="auto"/>
        <w:rPr>
          <w:rFonts w:hint="eastAsia" w:ascii="仿宋_GB2312" w:hAnsi="仿宋_GB2312" w:eastAsia="仿宋_GB2312" w:cs="仿宋_GB2312"/>
          <w:b w:val="0"/>
          <w:bCs w:val="0"/>
          <w:sz w:val="21"/>
          <w:highlight w:val="none"/>
        </w:rPr>
      </w:pPr>
    </w:p>
    <w:p>
      <w:pPr>
        <w:keepNext w:val="0"/>
        <w:keepLines w:val="0"/>
        <w:pageBreakBefore w:val="0"/>
        <w:widowControl w:val="0"/>
        <w:kinsoku/>
        <w:wordWrap/>
        <w:overflowPunct/>
        <w:topLinePunct w:val="0"/>
        <w:autoSpaceDE/>
        <w:autoSpaceDN/>
        <w:bidi w:val="0"/>
        <w:adjustRightInd/>
        <w:snapToGrid/>
        <w:spacing w:before="235" w:line="180" w:lineRule="exact"/>
        <w:ind w:right="0" w:firstLine="480" w:firstLineChars="200"/>
        <w:jc w:val="left"/>
        <w:textAlignment w:val="auto"/>
        <w:rPr>
          <w:rFonts w:hint="default"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rPr>
        <w:t>备注</w:t>
      </w:r>
      <w:r>
        <w:rPr>
          <w:rFonts w:hint="eastAsia" w:ascii="仿宋_GB2312" w:hAnsi="仿宋_GB2312" w:eastAsia="仿宋_GB2312" w:cs="仿宋_GB2312"/>
          <w:b w:val="0"/>
          <w:bCs w:val="0"/>
          <w:sz w:val="24"/>
          <w:szCs w:val="24"/>
          <w:highlight w:val="none"/>
          <w:lang w:eastAsia="zh-CN"/>
        </w:rPr>
        <w:t>：</w:t>
      </w:r>
      <w:r>
        <w:rPr>
          <w:rFonts w:hint="eastAsia" w:ascii="仿宋_GB2312" w:hAnsi="仿宋_GB2312" w:eastAsia="仿宋_GB2312" w:cs="仿宋_GB2312"/>
          <w:b w:val="0"/>
          <w:bCs w:val="0"/>
          <w:sz w:val="24"/>
          <w:szCs w:val="24"/>
          <w:highlight w:val="none"/>
          <w:lang w:val="en-US" w:eastAsia="zh-CN"/>
        </w:rPr>
        <w:t>1.本表上报时随附参加人员名单和职工（代表）大会决议；</w:t>
      </w:r>
    </w:p>
    <w:p>
      <w:pPr>
        <w:keepNext w:val="0"/>
        <w:keepLines w:val="0"/>
        <w:pageBreakBefore w:val="0"/>
        <w:widowControl w:val="0"/>
        <w:kinsoku/>
        <w:wordWrap/>
        <w:overflowPunct/>
        <w:topLinePunct w:val="0"/>
        <w:autoSpaceDE/>
        <w:autoSpaceDN/>
        <w:bidi w:val="0"/>
        <w:adjustRightInd/>
        <w:snapToGrid/>
        <w:spacing w:before="235" w:line="180" w:lineRule="exact"/>
        <w:ind w:right="0" w:firstLine="1200" w:firstLineChars="500"/>
        <w:jc w:val="left"/>
        <w:textAlignment w:val="auto"/>
        <w:rPr>
          <w:rFonts w:hint="default" w:ascii="仿宋_GB2312" w:hAnsi="仿宋_GB2312" w:eastAsia="仿宋_GB2312" w:cs="仿宋_GB2312"/>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2.</w:t>
      </w:r>
      <w:r>
        <w:rPr>
          <w:rFonts w:hint="eastAsia" w:ascii="仿宋_GB2312" w:hAnsi="仿宋_GB2312" w:eastAsia="仿宋_GB2312" w:cs="仿宋_GB2312"/>
          <w:b w:val="0"/>
          <w:bCs w:val="0"/>
          <w:sz w:val="24"/>
          <w:szCs w:val="24"/>
          <w:highlight w:val="none"/>
        </w:rPr>
        <w:t>本表一式</w:t>
      </w:r>
      <w:r>
        <w:rPr>
          <w:rFonts w:hint="eastAsia" w:ascii="仿宋_GB2312" w:hAnsi="仿宋_GB2312" w:eastAsia="仿宋_GB2312" w:cs="仿宋_GB2312"/>
          <w:b w:val="0"/>
          <w:bCs w:val="0"/>
          <w:sz w:val="24"/>
          <w:szCs w:val="24"/>
          <w:highlight w:val="none"/>
          <w:lang w:val="en-US" w:eastAsia="zh-CN"/>
        </w:rPr>
        <w:t>三</w:t>
      </w:r>
      <w:r>
        <w:rPr>
          <w:rFonts w:hint="eastAsia" w:ascii="仿宋_GB2312" w:hAnsi="仿宋_GB2312" w:eastAsia="仿宋_GB2312" w:cs="仿宋_GB2312"/>
          <w:b w:val="0"/>
          <w:bCs w:val="0"/>
          <w:sz w:val="24"/>
          <w:szCs w:val="24"/>
          <w:highlight w:val="none"/>
        </w:rPr>
        <w:t>份，市人社局、</w:t>
      </w:r>
      <w:r>
        <w:rPr>
          <w:rFonts w:hint="eastAsia" w:ascii="仿宋_GB2312" w:hAnsi="仿宋_GB2312" w:eastAsia="仿宋_GB2312" w:cs="仿宋_GB2312"/>
          <w:b w:val="0"/>
          <w:bCs w:val="0"/>
          <w:sz w:val="24"/>
          <w:szCs w:val="24"/>
          <w:highlight w:val="none"/>
          <w:lang w:val="en-US" w:eastAsia="zh-CN"/>
        </w:rPr>
        <w:t>市人力资源开发有限公司、</w:t>
      </w:r>
      <w:r>
        <w:rPr>
          <w:rFonts w:hint="eastAsia" w:ascii="仿宋_GB2312" w:hAnsi="仿宋_GB2312" w:eastAsia="仿宋_GB2312" w:cs="仿宋_GB2312"/>
          <w:b w:val="0"/>
          <w:bCs w:val="0"/>
          <w:sz w:val="24"/>
          <w:szCs w:val="24"/>
          <w:highlight w:val="none"/>
        </w:rPr>
        <w:t>企业各执一份</w:t>
      </w:r>
      <w:r>
        <w:rPr>
          <w:rFonts w:hint="eastAsia" w:ascii="仿宋_GB2312" w:hAnsi="仿宋_GB2312" w:eastAsia="仿宋_GB2312" w:cs="仿宋_GB2312"/>
          <w:b w:val="0"/>
          <w:bCs w:val="0"/>
          <w:sz w:val="24"/>
          <w:szCs w:val="24"/>
          <w:highlight w:val="none"/>
          <w:lang w:eastAsia="zh-CN"/>
        </w:rPr>
        <w:t>。</w:t>
      </w:r>
    </w:p>
    <w:p>
      <w:pPr>
        <w:spacing w:after="0" w:line="240" w:lineRule="auto"/>
        <w:ind w:firstLine="960" w:firstLineChars="400"/>
        <w:jc w:val="left"/>
        <w:rPr>
          <w:rFonts w:hint="eastAsia" w:ascii="仿宋_GB2312" w:hAnsi="仿宋_GB2312" w:eastAsia="仿宋_GB2312" w:cs="仿宋_GB2312"/>
          <w:color w:val="C00000"/>
          <w:spacing w:val="-20"/>
          <w:sz w:val="28"/>
          <w:szCs w:val="28"/>
          <w:highlight w:val="none"/>
          <w:lang w:val="en-US" w:eastAsia="zh-CN"/>
        </w:rPr>
      </w:pPr>
    </w:p>
    <w:p>
      <w:pPr>
        <w:spacing w:after="0" w:line="240" w:lineRule="auto"/>
        <w:jc w:val="left"/>
        <w:rPr>
          <w:rFonts w:hint="default" w:ascii="仿宋_GB2312" w:hAnsi="仿宋_GB2312" w:eastAsia="仿宋_GB2312" w:cs="仿宋_GB2312"/>
          <w:color w:val="C00000"/>
          <w:sz w:val="21"/>
          <w:szCs w:val="21"/>
          <w:highlight w:val="none"/>
          <w:lang w:val="en-US" w:eastAsia="zh-CN"/>
        </w:rPr>
      </w:pPr>
    </w:p>
    <w:p>
      <w:pPr>
        <w:spacing w:after="0" w:line="240" w:lineRule="auto"/>
        <w:jc w:val="left"/>
        <w:rPr>
          <w:rFonts w:hint="default" w:ascii="仿宋_GB2312" w:hAnsi="仿宋_GB2312" w:eastAsia="仿宋_GB2312" w:cs="仿宋_GB2312"/>
          <w:color w:val="C00000"/>
          <w:sz w:val="21"/>
          <w:szCs w:val="21"/>
          <w:highlight w:val="none"/>
          <w:lang w:val="en-US" w:eastAsia="zh-CN"/>
        </w:rPr>
      </w:pPr>
    </w:p>
    <w:p>
      <w:pPr>
        <w:spacing w:after="0" w:line="240" w:lineRule="auto"/>
        <w:jc w:val="left"/>
        <w:rPr>
          <w:rFonts w:hint="default" w:ascii="仿宋_GB2312" w:hAnsi="仿宋_GB2312" w:eastAsia="仿宋_GB2312" w:cs="仿宋_GB2312"/>
          <w:color w:val="C00000"/>
          <w:sz w:val="21"/>
          <w:szCs w:val="21"/>
          <w:highlight w:val="none"/>
          <w:lang w:val="en-US" w:eastAsia="zh-CN"/>
        </w:rPr>
      </w:pPr>
    </w:p>
    <w:p>
      <w:pPr>
        <w:spacing w:after="0" w:line="240" w:lineRule="auto"/>
        <w:jc w:val="left"/>
        <w:rPr>
          <w:rFonts w:hint="default" w:ascii="仿宋_GB2312" w:hAnsi="仿宋_GB2312" w:eastAsia="仿宋_GB2312" w:cs="仿宋_GB2312"/>
          <w:color w:val="C00000"/>
          <w:sz w:val="21"/>
          <w:szCs w:val="21"/>
          <w:highlight w:val="none"/>
          <w:lang w:val="en-US" w:eastAsia="zh-CN"/>
        </w:rPr>
      </w:pPr>
    </w:p>
    <w:p>
      <w:pPr>
        <w:spacing w:after="0" w:line="240" w:lineRule="auto"/>
        <w:jc w:val="left"/>
        <w:rPr>
          <w:rFonts w:hint="default" w:ascii="仿宋_GB2312" w:hAnsi="仿宋_GB2312" w:eastAsia="仿宋_GB2312" w:cs="仿宋_GB2312"/>
          <w:color w:val="C00000"/>
          <w:sz w:val="21"/>
          <w:szCs w:val="21"/>
          <w:highlight w:val="none"/>
          <w:lang w:val="en-US" w:eastAsia="zh-CN"/>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hAnsi="黑体" w:eastAsia="黑体" w:cs="黑体"/>
          <w:sz w:val="28"/>
          <w:szCs w:val="28"/>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hAnsi="黑体" w:eastAsia="黑体" w:cs="黑体"/>
          <w:sz w:val="32"/>
          <w:szCs w:val="32"/>
          <w:highlight w:val="none"/>
        </w:rPr>
      </w:pPr>
    </w:p>
    <w:p>
      <w:pPr>
        <w:pStyle w:val="3"/>
        <w:keepNext w:val="0"/>
        <w:keepLines w:val="0"/>
        <w:pageBreakBefore w:val="0"/>
        <w:widowControl w:val="0"/>
        <w:kinsoku/>
        <w:wordWrap/>
        <w:overflowPunct/>
        <w:topLinePunct w:val="0"/>
        <w:autoSpaceDE/>
        <w:autoSpaceDN/>
        <w:bidi w:val="0"/>
        <w:adjustRightInd/>
        <w:snapToGrid/>
        <w:spacing w:before="26" w:line="300" w:lineRule="exact"/>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 xml:space="preserve">附件 </w:t>
      </w:r>
      <w:r>
        <w:rPr>
          <w:rFonts w:hint="eastAsia" w:ascii="黑体" w:hAnsi="黑体" w:eastAsia="黑体" w:cs="黑体"/>
          <w:sz w:val="32"/>
          <w:szCs w:val="32"/>
          <w:highlight w:val="none"/>
          <w:lang w:val="en-US" w:eastAsia="zh-CN"/>
        </w:rPr>
        <w:t>2</w:t>
      </w:r>
    </w:p>
    <w:p>
      <w:pPr>
        <w:spacing w:after="0" w:line="240" w:lineRule="auto"/>
        <w:jc w:val="left"/>
        <w:rPr>
          <w:rFonts w:hint="eastAsia" w:ascii="黑体" w:hAnsi="黑体" w:eastAsia="黑体" w:cs="黑体"/>
          <w:color w:val="C00000"/>
          <w:sz w:val="32"/>
          <w:szCs w:val="32"/>
          <w:highlight w:val="none"/>
          <w:lang w:val="en-US" w:eastAsia="zh-CN"/>
        </w:rPr>
      </w:pPr>
    </w:p>
    <w:p>
      <w:pPr>
        <w:jc w:val="center"/>
        <w:rPr>
          <w:rFonts w:hint="eastAsia" w:ascii="宋体" w:hAnsi="宋体" w:eastAsia="宋体"/>
          <w:b/>
          <w:sz w:val="32"/>
          <w:szCs w:val="32"/>
          <w:highlight w:val="none"/>
        </w:rPr>
      </w:pPr>
      <w:r>
        <w:rPr>
          <w:rFonts w:hint="eastAsia" w:ascii="黑体" w:hAnsi="黑体" w:eastAsia="黑体" w:cs="黑体"/>
          <w:b w:val="0"/>
          <w:bCs/>
          <w:sz w:val="32"/>
          <w:szCs w:val="32"/>
          <w:highlight w:val="none"/>
        </w:rPr>
        <w:t>常熟市企业人才参加企业年金集合计划授权委托书</w:t>
      </w:r>
    </w:p>
    <w:p>
      <w:pPr>
        <w:jc w:val="center"/>
        <w:rPr>
          <w:rFonts w:hint="eastAsia" w:ascii="宋体" w:hAnsi="宋体" w:eastAsia="宋体"/>
          <w:b/>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highlight w:val="none"/>
          <w:u w:val="single"/>
        </w:rPr>
      </w:pPr>
      <w:r>
        <w:rPr>
          <w:rFonts w:hint="eastAsia" w:ascii="仿宋_GB2312" w:hAnsi="仿宋_GB2312" w:eastAsia="仿宋_GB2312" w:cs="仿宋_GB2312"/>
          <w:sz w:val="32"/>
          <w:szCs w:val="32"/>
          <w:highlight w:val="none"/>
        </w:rPr>
        <w:t>委托单位：</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none"/>
          <w:lang w:val="en-US" w:eastAsia="zh-CN"/>
        </w:rPr>
        <w:t xml:space="preserve"> </w:t>
      </w:r>
      <w:r>
        <w:rPr>
          <w:rFonts w:hint="eastAsia" w:ascii="仿宋_GB2312" w:hAnsi="仿宋_GB2312" w:eastAsia="仿宋_GB2312" w:cs="仿宋_GB2312"/>
          <w:sz w:val="32"/>
          <w:szCs w:val="32"/>
          <w:highlight w:val="none"/>
        </w:rPr>
        <w:t>法定代表人：</w:t>
      </w:r>
      <w:r>
        <w:rPr>
          <w:rFonts w:hint="eastAsia" w:ascii="仿宋_GB2312" w:hAnsi="仿宋_GB2312" w:eastAsia="仿宋_GB2312" w:cs="仿宋_GB2312"/>
          <w:sz w:val="32"/>
          <w:szCs w:val="32"/>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highlight w:val="none"/>
          <w:u w:val="single"/>
        </w:rPr>
      </w:pPr>
      <w:r>
        <w:rPr>
          <w:rFonts w:hint="eastAsia" w:ascii="仿宋_GB2312" w:hAnsi="仿宋_GB2312" w:eastAsia="仿宋_GB2312" w:cs="仿宋_GB2312"/>
          <w:sz w:val="32"/>
          <w:szCs w:val="32"/>
          <w:highlight w:val="none"/>
        </w:rPr>
        <w:t>单位地址：</w:t>
      </w:r>
      <w:r>
        <w:rPr>
          <w:rFonts w:hint="eastAsia" w:ascii="仿宋_GB2312" w:hAnsi="仿宋_GB2312" w:eastAsia="仿宋_GB2312" w:cs="仿宋_GB2312"/>
          <w:sz w:val="32"/>
          <w:szCs w:val="32"/>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highlight w:val="none"/>
          <w:u w:val="single"/>
          <w:lang w:val="en-US" w:eastAsia="zh-CN"/>
        </w:rPr>
      </w:pPr>
      <w:r>
        <w:rPr>
          <w:rFonts w:hint="eastAsia" w:ascii="仿宋_GB2312" w:hAnsi="仿宋_GB2312" w:eastAsia="仿宋_GB2312" w:cs="仿宋_GB2312"/>
          <w:sz w:val="32"/>
          <w:szCs w:val="32"/>
          <w:highlight w:val="none"/>
        </w:rPr>
        <w:t>受委托单位：</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u w:val="none"/>
          <w:lang w:val="en-US" w:eastAsia="zh-CN"/>
        </w:rPr>
        <w:t xml:space="preserve"> </w:t>
      </w:r>
      <w:r>
        <w:rPr>
          <w:rFonts w:hint="eastAsia" w:ascii="仿宋_GB2312" w:hAnsi="仿宋_GB2312" w:eastAsia="仿宋_GB2312" w:cs="仿宋_GB2312"/>
          <w:sz w:val="32"/>
          <w:szCs w:val="32"/>
          <w:highlight w:val="none"/>
        </w:rPr>
        <w:t>法定代表人：</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highlight w:val="none"/>
          <w:u w:val="single"/>
          <w:lang w:val="en-US" w:eastAsia="zh-CN"/>
        </w:rPr>
      </w:pPr>
      <w:r>
        <w:rPr>
          <w:rFonts w:hint="eastAsia" w:ascii="仿宋_GB2312" w:hAnsi="仿宋_GB2312" w:eastAsia="仿宋_GB2312" w:cs="仿宋_GB2312"/>
          <w:sz w:val="32"/>
          <w:szCs w:val="32"/>
          <w:highlight w:val="none"/>
        </w:rPr>
        <w:t>单位地址：</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u w:val="single"/>
          <w:lang w:val="en-US" w:eastAsia="zh-CN"/>
        </w:rPr>
        <w:t xml:space="preserve">                    </w:t>
      </w:r>
    </w:p>
    <w:p>
      <w:pPr>
        <w:jc w:val="left"/>
        <w:rPr>
          <w:rFonts w:hint="eastAsia"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经本单位</w:t>
      </w:r>
      <w:r>
        <w:rPr>
          <w:rFonts w:hint="eastAsia" w:ascii="仿宋_GB2312" w:hAnsi="仿宋_GB2312" w:eastAsia="仿宋_GB2312" w:cs="仿宋_GB2312"/>
          <w:strike w:val="0"/>
          <w:dstrike w:val="0"/>
          <w:color w:val="auto"/>
          <w:sz w:val="32"/>
          <w:szCs w:val="32"/>
          <w:highlight w:val="none"/>
          <w:lang w:eastAsia="zh-CN"/>
        </w:rPr>
        <w:t>集体协商</w:t>
      </w:r>
      <w:r>
        <w:rPr>
          <w:rFonts w:hint="eastAsia" w:ascii="仿宋_GB2312" w:hAnsi="仿宋_GB2312" w:eastAsia="仿宋_GB2312" w:cs="仿宋_GB2312"/>
          <w:sz w:val="32"/>
          <w:szCs w:val="32"/>
          <w:highlight w:val="none"/>
        </w:rPr>
        <w:t>决定，委托</w:t>
      </w:r>
      <w:r>
        <w:rPr>
          <w:rFonts w:hint="eastAsia" w:ascii="仿宋_GB2312" w:hAnsi="仿宋_GB2312" w:eastAsia="仿宋_GB2312" w:cs="仿宋_GB2312"/>
          <w:sz w:val="32"/>
          <w:szCs w:val="32"/>
          <w:highlight w:val="none"/>
          <w:u w:val="single"/>
        </w:rPr>
        <w:t>常熟市人力资源开发有限公司</w:t>
      </w:r>
      <w:r>
        <w:rPr>
          <w:rFonts w:hint="eastAsia" w:ascii="仿宋_GB2312" w:hAnsi="仿宋_GB2312" w:eastAsia="仿宋_GB2312" w:cs="仿宋_GB2312"/>
          <w:sz w:val="32"/>
          <w:szCs w:val="32"/>
          <w:highlight w:val="none"/>
        </w:rPr>
        <w:t>全权负责我单位</w:t>
      </w:r>
      <w:r>
        <w:rPr>
          <w:rFonts w:hint="eastAsia" w:ascii="仿宋_GB2312" w:hAnsi="仿宋_GB2312" w:eastAsia="仿宋_GB2312" w:cs="仿宋_GB2312"/>
          <w:sz w:val="32"/>
          <w:szCs w:val="32"/>
          <w:highlight w:val="none"/>
          <w:lang w:val="en-US" w:eastAsia="zh-CN"/>
        </w:rPr>
        <w:t>企业人才</w:t>
      </w:r>
      <w:r>
        <w:rPr>
          <w:rFonts w:hint="eastAsia" w:ascii="仿宋_GB2312" w:hAnsi="仿宋_GB2312" w:eastAsia="仿宋_GB2312" w:cs="仿宋_GB2312"/>
          <w:sz w:val="32"/>
          <w:szCs w:val="32"/>
          <w:highlight w:val="none"/>
        </w:rPr>
        <w:t>参加</w:t>
      </w:r>
      <w:r>
        <w:rPr>
          <w:rFonts w:hint="eastAsia" w:ascii="仿宋_GB2312" w:hAnsi="仿宋_GB2312" w:eastAsia="仿宋_GB2312" w:cs="仿宋_GB2312"/>
          <w:sz w:val="32"/>
          <w:szCs w:val="32"/>
          <w:highlight w:val="none"/>
          <w:lang w:val="en-US" w:eastAsia="zh-CN"/>
        </w:rPr>
        <w:t>企业年金</w:t>
      </w:r>
      <w:r>
        <w:rPr>
          <w:rFonts w:hint="eastAsia" w:ascii="仿宋_GB2312" w:hAnsi="仿宋_GB2312" w:eastAsia="仿宋_GB2312" w:cs="仿宋_GB2312"/>
          <w:sz w:val="32"/>
          <w:szCs w:val="32"/>
          <w:highlight w:val="none"/>
        </w:rPr>
        <w:t>集合计划，</w:t>
      </w:r>
      <w:r>
        <w:rPr>
          <w:rFonts w:hint="eastAsia" w:ascii="仿宋_GB2312" w:hAnsi="仿宋_GB2312" w:eastAsia="仿宋_GB2312" w:cs="仿宋_GB2312"/>
          <w:sz w:val="32"/>
          <w:szCs w:val="32"/>
          <w:highlight w:val="none"/>
          <w:u w:val="single"/>
        </w:rPr>
        <w:t>常熟市人力资源开发有限公司</w:t>
      </w:r>
      <w:r>
        <w:rPr>
          <w:rFonts w:hint="eastAsia" w:ascii="仿宋_GB2312" w:hAnsi="仿宋_GB2312" w:eastAsia="仿宋_GB2312" w:cs="仿宋_GB2312"/>
          <w:sz w:val="32"/>
          <w:szCs w:val="32"/>
          <w:highlight w:val="none"/>
        </w:rPr>
        <w:t>可根据授权，确定</w:t>
      </w:r>
      <w:r>
        <w:rPr>
          <w:rFonts w:hint="eastAsia" w:ascii="仿宋_GB2312" w:hAnsi="仿宋_GB2312" w:eastAsia="仿宋_GB2312" w:cs="仿宋_GB2312"/>
          <w:sz w:val="32"/>
          <w:szCs w:val="32"/>
          <w:highlight w:val="none"/>
          <w:lang w:val="en-US" w:eastAsia="zh-CN"/>
        </w:rPr>
        <w:t>企业年金集合计划</w:t>
      </w:r>
      <w:r>
        <w:rPr>
          <w:rFonts w:hint="eastAsia" w:ascii="仿宋_GB2312" w:hAnsi="仿宋_GB2312" w:eastAsia="仿宋_GB2312" w:cs="仿宋_GB2312"/>
          <w:sz w:val="32"/>
          <w:szCs w:val="32"/>
          <w:highlight w:val="none"/>
        </w:rPr>
        <w:t>受托人，签订受托合同以及其他管理事宜，本单位对</w:t>
      </w:r>
      <w:r>
        <w:rPr>
          <w:rFonts w:hint="eastAsia" w:ascii="仿宋_GB2312" w:hAnsi="仿宋_GB2312" w:eastAsia="仿宋_GB2312" w:cs="仿宋_GB2312"/>
          <w:sz w:val="32"/>
          <w:szCs w:val="32"/>
          <w:highlight w:val="none"/>
          <w:u w:val="single"/>
        </w:rPr>
        <w:t>常熟市人力资源开发有限公司</w:t>
      </w:r>
      <w:r>
        <w:rPr>
          <w:rFonts w:hint="eastAsia" w:ascii="仿宋_GB2312" w:hAnsi="仿宋_GB2312" w:eastAsia="仿宋_GB2312" w:cs="仿宋_GB2312"/>
          <w:sz w:val="32"/>
          <w:szCs w:val="32"/>
          <w:highlight w:val="none"/>
        </w:rPr>
        <w:t>就</w:t>
      </w:r>
      <w:r>
        <w:rPr>
          <w:rFonts w:hint="eastAsia" w:ascii="仿宋_GB2312" w:hAnsi="仿宋_GB2312" w:eastAsia="仿宋_GB2312" w:cs="仿宋_GB2312"/>
          <w:sz w:val="32"/>
          <w:szCs w:val="32"/>
          <w:highlight w:val="none"/>
          <w:lang w:val="en-US" w:eastAsia="zh-CN"/>
        </w:rPr>
        <w:t>企业年金集合</w:t>
      </w:r>
      <w:r>
        <w:rPr>
          <w:rFonts w:hint="eastAsia" w:ascii="仿宋_GB2312" w:hAnsi="仿宋_GB2312" w:eastAsia="仿宋_GB2312" w:cs="仿宋_GB2312"/>
          <w:sz w:val="32"/>
          <w:szCs w:val="32"/>
          <w:highlight w:val="none"/>
        </w:rPr>
        <w:t>计划的相关签章均予以承认。</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u w:val="none"/>
        </w:rPr>
        <w:t>常熟市人力资源开发有限公司</w:t>
      </w:r>
      <w:r>
        <w:rPr>
          <w:rFonts w:hint="eastAsia" w:ascii="仿宋_GB2312" w:hAnsi="仿宋_GB2312" w:eastAsia="仿宋_GB2312" w:cs="仿宋_GB2312"/>
          <w:sz w:val="32"/>
          <w:szCs w:val="32"/>
          <w:highlight w:val="none"/>
        </w:rPr>
        <w:t>收到本单位撤销授权的书面通知前，本授权一直有效。授权有效期内，</w:t>
      </w:r>
      <w:r>
        <w:rPr>
          <w:rFonts w:hint="eastAsia" w:ascii="仿宋_GB2312" w:hAnsi="仿宋_GB2312" w:eastAsia="仿宋_GB2312" w:cs="仿宋_GB2312"/>
          <w:sz w:val="32"/>
          <w:szCs w:val="32"/>
          <w:highlight w:val="none"/>
          <w:u w:val="single"/>
        </w:rPr>
        <w:t>常熟市人力资源开发有限公司</w:t>
      </w:r>
      <w:r>
        <w:rPr>
          <w:rFonts w:hint="eastAsia" w:ascii="仿宋_GB2312" w:hAnsi="仿宋_GB2312" w:eastAsia="仿宋_GB2312" w:cs="仿宋_GB2312"/>
          <w:sz w:val="32"/>
          <w:szCs w:val="32"/>
          <w:highlight w:val="none"/>
        </w:rPr>
        <w:t>办理的所有</w:t>
      </w:r>
      <w:r>
        <w:rPr>
          <w:rFonts w:hint="eastAsia" w:ascii="仿宋_GB2312" w:hAnsi="仿宋_GB2312" w:eastAsia="仿宋_GB2312" w:cs="仿宋_GB2312"/>
          <w:sz w:val="32"/>
          <w:szCs w:val="32"/>
          <w:highlight w:val="none"/>
          <w:lang w:val="en-US" w:eastAsia="zh-CN"/>
        </w:rPr>
        <w:t>企业年金集合计划</w:t>
      </w:r>
      <w:r>
        <w:rPr>
          <w:rFonts w:hint="eastAsia" w:ascii="仿宋_GB2312" w:hAnsi="仿宋_GB2312" w:eastAsia="仿宋_GB2312" w:cs="仿宋_GB2312"/>
          <w:sz w:val="32"/>
          <w:szCs w:val="32"/>
          <w:highlight w:val="none"/>
        </w:rPr>
        <w:t>相关事务不因授权的撤销而失效</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特此委托！</w:t>
      </w:r>
    </w:p>
    <w:p>
      <w:pPr>
        <w:keepNext w:val="0"/>
        <w:keepLines w:val="0"/>
        <w:pageBreakBefore w:val="0"/>
        <w:widowControl w:val="0"/>
        <w:kinsoku/>
        <w:wordWrap/>
        <w:overflowPunct/>
        <w:topLinePunct w:val="0"/>
        <w:autoSpaceDE/>
        <w:autoSpaceDN/>
        <w:bidi w:val="0"/>
        <w:adjustRightInd/>
        <w:snapToGrid/>
        <w:spacing w:line="360" w:lineRule="auto"/>
        <w:ind w:right="640" w:firstLine="4480" w:firstLineChars="14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单位名称（盖章）：</w:t>
      </w:r>
    </w:p>
    <w:p>
      <w:pPr>
        <w:keepNext w:val="0"/>
        <w:keepLines w:val="0"/>
        <w:pageBreakBefore w:val="0"/>
        <w:widowControl w:val="0"/>
        <w:kinsoku/>
        <w:wordWrap/>
        <w:overflowPunct/>
        <w:topLinePunct w:val="0"/>
        <w:autoSpaceDE/>
        <w:autoSpaceDN/>
        <w:bidi w:val="0"/>
        <w:adjustRightInd/>
        <w:snapToGrid/>
        <w:spacing w:line="360" w:lineRule="auto"/>
        <w:ind w:right="640" w:firstLine="4320" w:firstLineChars="135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法定代表人：（签字盖章）</w:t>
      </w:r>
    </w:p>
    <w:p>
      <w:pPr>
        <w:keepNext w:val="0"/>
        <w:keepLines w:val="0"/>
        <w:pageBreakBefore w:val="0"/>
        <w:widowControl w:val="0"/>
        <w:kinsoku/>
        <w:wordWrap/>
        <w:overflowPunct/>
        <w:topLinePunct w:val="0"/>
        <w:autoSpaceDE/>
        <w:autoSpaceDN/>
        <w:bidi w:val="0"/>
        <w:adjustRightInd/>
        <w:snapToGrid/>
        <w:spacing w:line="360" w:lineRule="auto"/>
        <w:ind w:right="640" w:firstLine="4320" w:firstLineChars="1350"/>
        <w:textAlignment w:val="auto"/>
        <w:rPr>
          <w:rFonts w:hint="eastAsia" w:ascii="黑体" w:hAnsi="黑体" w:eastAsia="黑体" w:cs="黑体"/>
          <w:sz w:val="28"/>
          <w:szCs w:val="28"/>
          <w:highlight w:val="none"/>
        </w:rPr>
        <w:sectPr>
          <w:headerReference r:id="rId5" w:type="first"/>
          <w:footerReference r:id="rId8" w:type="first"/>
          <w:footerReference r:id="rId6" w:type="default"/>
          <w:footerReference r:id="rId7" w:type="even"/>
          <w:pgSz w:w="11910" w:h="16840"/>
          <w:pgMar w:top="1520" w:right="1200" w:bottom="1300" w:left="1420" w:header="0" w:footer="1107" w:gutter="0"/>
          <w:pgBorders>
            <w:top w:val="none" w:sz="0" w:space="0"/>
            <w:left w:val="none" w:sz="0" w:space="0"/>
            <w:bottom w:val="none" w:sz="0" w:space="0"/>
            <w:right w:val="none" w:sz="0" w:space="0"/>
          </w:pgBorders>
          <w:pgNumType w:fmt="decimal" w:start="1"/>
          <w:cols w:space="720" w:num="1"/>
        </w:sectPr>
      </w:pPr>
      <w:r>
        <w:rPr>
          <w:rFonts w:hint="eastAsia" w:ascii="仿宋_GB2312" w:hAnsi="仿宋_GB2312" w:eastAsia="仿宋_GB2312" w:cs="仿宋_GB2312"/>
          <w:sz w:val="32"/>
          <w:szCs w:val="32"/>
          <w:highlight w:val="none"/>
        </w:rPr>
        <w:t xml:space="preserve">日期：    年  </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 xml:space="preserve">月  </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color w:val="C00000"/>
          <w:sz w:val="32"/>
          <w:szCs w:val="32"/>
          <w:highlight w:val="none"/>
          <w:lang w:val="en-US" w:eastAsia="zh-CN"/>
        </w:rPr>
        <w:t xml:space="preserve">                                            </w:t>
      </w:r>
    </w:p>
    <w:p>
      <w:pPr>
        <w:spacing w:beforeLines="0" w:afterLines="0"/>
        <w:jc w:val="left"/>
        <w:rPr>
          <w:rFonts w:hint="eastAsia" w:ascii="黑体" w:hAnsi="黑体" w:eastAsia="黑体" w:cs="黑体"/>
          <w:sz w:val="32"/>
          <w:szCs w:val="32"/>
        </w:rPr>
      </w:pPr>
      <w:r>
        <w:rPr>
          <w:rFonts w:hint="eastAsia" w:ascii="黑体" w:hAnsi="黑体" w:eastAsia="黑体" w:cs="黑体"/>
          <w:sz w:val="32"/>
          <w:szCs w:val="32"/>
        </w:rPr>
        <w:t>附件 3</w:t>
      </w:r>
    </w:p>
    <w:p>
      <w:pPr>
        <w:spacing w:beforeLines="0" w:afterLines="0"/>
        <w:ind w:firstLine="3200" w:firstLineChars="1000"/>
        <w:rPr>
          <w:rFonts w:hint="eastAsia" w:ascii="黑体" w:hAnsi="黑体" w:eastAsia="黑体" w:cs="黑体"/>
          <w:sz w:val="32"/>
          <w:szCs w:val="32"/>
        </w:rPr>
      </w:pPr>
      <w:r>
        <w:rPr>
          <w:rFonts w:hint="eastAsia" w:ascii="黑体" w:hAnsi="黑体" w:eastAsia="黑体" w:cs="黑体"/>
          <w:color w:val="auto"/>
          <w:sz w:val="32"/>
          <w:szCs w:val="32"/>
        </w:rPr>
        <w:t>参加企业年金集合计划人员名册（范表）</w:t>
      </w:r>
    </w:p>
    <w:p>
      <w:pPr>
        <w:spacing w:beforeLines="0" w:afterLines="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单位名称（盖章）：                                             填报日期：   年   月   日</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1249"/>
        <w:gridCol w:w="2663"/>
        <w:gridCol w:w="1511"/>
        <w:gridCol w:w="1953"/>
        <w:gridCol w:w="1707"/>
        <w:gridCol w:w="833"/>
        <w:gridCol w:w="883"/>
        <w:gridCol w:w="1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5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序号</w:t>
            </w:r>
          </w:p>
        </w:tc>
        <w:tc>
          <w:tcPr>
            <w:tcW w:w="1249"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姓名</w:t>
            </w:r>
          </w:p>
        </w:tc>
        <w:tc>
          <w:tcPr>
            <w:tcW w:w="266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身份证号码</w:t>
            </w:r>
          </w:p>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（社会保障号码）</w:t>
            </w:r>
          </w:p>
        </w:tc>
        <w:tc>
          <w:tcPr>
            <w:tcW w:w="15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人员性质</w:t>
            </w:r>
          </w:p>
        </w:tc>
        <w:tc>
          <w:tcPr>
            <w:tcW w:w="195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基本养老保险缴费基数</w:t>
            </w:r>
          </w:p>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（元/月）</w:t>
            </w:r>
          </w:p>
        </w:tc>
        <w:tc>
          <w:tcPr>
            <w:tcW w:w="170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年金缴费</w:t>
            </w:r>
          </w:p>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基数</w:t>
            </w:r>
          </w:p>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（元/月）</w:t>
            </w:r>
          </w:p>
        </w:tc>
        <w:tc>
          <w:tcPr>
            <w:tcW w:w="1716"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缴费比例</w:t>
            </w:r>
          </w:p>
        </w:tc>
        <w:tc>
          <w:tcPr>
            <w:tcW w:w="102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Lines="0" w:afterLines="0" w:line="3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85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p>
        </w:tc>
        <w:tc>
          <w:tcPr>
            <w:tcW w:w="124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p>
        </w:tc>
        <w:tc>
          <w:tcPr>
            <w:tcW w:w="266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p>
        </w:tc>
        <w:tc>
          <w:tcPr>
            <w:tcW w:w="15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p>
        </w:tc>
        <w:tc>
          <w:tcPr>
            <w:tcW w:w="195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p>
        </w:tc>
        <w:tc>
          <w:tcPr>
            <w:tcW w:w="170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p>
        </w:tc>
        <w:tc>
          <w:tcPr>
            <w:tcW w:w="83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单位</w:t>
            </w:r>
          </w:p>
        </w:tc>
        <w:tc>
          <w:tcPr>
            <w:tcW w:w="88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个人</w:t>
            </w:r>
          </w:p>
        </w:tc>
        <w:tc>
          <w:tcPr>
            <w:tcW w:w="102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85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24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26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51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95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7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3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8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0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24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26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51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95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7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3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8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0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24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26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51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95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7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3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8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0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24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26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51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95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7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3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8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0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24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26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51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95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7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3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8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0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24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26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51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95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7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3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8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0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合计</w:t>
            </w:r>
          </w:p>
        </w:tc>
        <w:tc>
          <w:tcPr>
            <w:tcW w:w="124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26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51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95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7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3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88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c>
          <w:tcPr>
            <w:tcW w:w="10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eastAsia" w:ascii="黑体" w:hAnsi="黑体" w:eastAsia="黑体" w:cs="黑体"/>
                <w:sz w:val="28"/>
                <w:szCs w:val="28"/>
              </w:rPr>
            </w:pPr>
          </w:p>
        </w:tc>
      </w:tr>
    </w:tbl>
    <w:p>
      <w:pPr>
        <w:keepNext w:val="0"/>
        <w:keepLines w:val="0"/>
        <w:pageBreakBefore w:val="0"/>
        <w:widowControl w:val="0"/>
        <w:kinsoku/>
        <w:wordWrap/>
        <w:overflowPunct/>
        <w:topLinePunct w:val="0"/>
        <w:autoSpaceDE w:val="0"/>
        <w:autoSpaceDN w:val="0"/>
        <w:bidi w:val="0"/>
        <w:adjustRightInd/>
        <w:snapToGrid/>
        <w:jc w:val="both"/>
        <w:textAlignment w:val="auto"/>
        <w:rPr>
          <w:rFonts w:hint="default" w:cs="仿宋_GB2312"/>
          <w:b w:val="0"/>
          <w:bCs w:val="0"/>
          <w:sz w:val="32"/>
          <w:szCs w:val="32"/>
          <w:lang w:val="en-US" w:eastAsia="zh-CN"/>
        </w:rPr>
      </w:pPr>
      <w:r>
        <w:rPr>
          <w:rFonts w:hint="eastAsia" w:ascii="仿宋_GB2312" w:hAnsi="仿宋_GB2312" w:eastAsia="仿宋_GB2312" w:cs="仿宋_GB2312"/>
          <w:color w:val="auto"/>
          <w:sz w:val="24"/>
          <w:szCs w:val="24"/>
          <w:highlight w:val="none"/>
          <w:lang w:val="en-US" w:eastAsia="zh-CN"/>
        </w:rPr>
        <w:t>注：“人员性质”标明人才的具体性质类型</w:t>
      </w:r>
      <w:r>
        <w:rPr>
          <w:rFonts w:hint="eastAsia" w:cs="仿宋_GB2312"/>
          <w:color w:val="auto"/>
          <w:sz w:val="24"/>
          <w:szCs w:val="24"/>
          <w:highlight w:val="none"/>
          <w:lang w:val="en-US" w:eastAsia="zh-CN"/>
        </w:rPr>
        <w:t>，如“本科”、“高级工”等。</w:t>
      </w: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0E96E1F-DF6B-4370-85FE-1C28DE5AE72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31E6F1DA-2CE5-4B7F-8B13-A39C091273A3}"/>
  </w:font>
  <w:font w:name="仿宋_GB2312">
    <w:altName w:val="仿宋"/>
    <w:panose1 w:val="02010609030101010101"/>
    <w:charset w:val="86"/>
    <w:family w:val="modern"/>
    <w:pitch w:val="default"/>
    <w:sig w:usb0="00000000" w:usb1="00000000" w:usb2="00000000" w:usb3="00000000" w:csb0="00040000" w:csb1="00000000"/>
    <w:embedRegular r:id="rId3" w:fontKey="{CD7B4107-7095-4A81-9417-53F782BAC40F}"/>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B6AB087C-2CED-46D7-8544-D4B0E688EDE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p>
    <w:pPr>
      <w:pStyle w:val="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1130300</wp:posOffset>
              </wp:positionH>
              <wp:positionV relativeFrom="page">
                <wp:posOffset>9850755</wp:posOffset>
              </wp:positionV>
              <wp:extent cx="410210" cy="222250"/>
              <wp:effectExtent l="0" t="0" r="0" b="0"/>
              <wp:wrapNone/>
              <wp:docPr id="2" name="文本框 2"/>
              <wp:cNvGraphicFramePr/>
              <a:graphic xmlns:a="http://schemas.openxmlformats.org/drawingml/2006/main">
                <a:graphicData uri="http://schemas.microsoft.com/office/word/2010/wordprocessingShape">
                  <wps:wsp>
                    <wps:cNvSpPr txBox="1"/>
                    <wps:spPr>
                      <a:xfrm>
                        <a:off x="0" y="0"/>
                        <a:ext cx="410210" cy="222250"/>
                      </a:xfrm>
                      <a:prstGeom prst="rect">
                        <a:avLst/>
                      </a:prstGeom>
                      <a:noFill/>
                      <a:ln>
                        <a:noFill/>
                      </a:ln>
                    </wps:spPr>
                    <wps:txbx>
                      <w:txbxContent>
                        <w:p>
                          <w:pPr>
                            <w:spacing w:before="7"/>
                            <w:ind w:left="20" w:right="0" w:firstLine="0"/>
                            <w:jc w:val="left"/>
                            <w:rPr>
                              <w:rFonts w:ascii="Times New Roman"/>
                              <w:sz w:val="28"/>
                            </w:rPr>
                          </w:pPr>
                          <w:r>
                            <w:rPr>
                              <w:rFonts w:ascii="Times New Roman"/>
                              <w:sz w:val="28"/>
                            </w:rPr>
                            <w:t xml:space="preserve">- </w:t>
                          </w:r>
                          <w:r>
                            <w:fldChar w:fldCharType="begin"/>
                          </w:r>
                          <w:r>
                            <w:rPr>
                              <w:rFonts w:ascii="Times New Roman"/>
                              <w:sz w:val="28"/>
                            </w:rPr>
                            <w:instrText xml:space="preserve"> PAGE </w:instrText>
                          </w:r>
                          <w:r>
                            <w:fldChar w:fldCharType="separate"/>
                          </w:r>
                          <w:r>
                            <w:t>10</w:t>
                          </w:r>
                          <w:r>
                            <w:fldChar w:fldCharType="end"/>
                          </w:r>
                          <w:r>
                            <w:rPr>
                              <w:rFonts w:ascii="Times New Roman"/>
                              <w:sz w:val="28"/>
                            </w:rPr>
                            <w:t xml:space="preserve"> -</w:t>
                          </w:r>
                        </w:p>
                      </w:txbxContent>
                    </wps:txbx>
                    <wps:bodyPr lIns="0" tIns="0" rIns="0" bIns="0" upright="1"/>
                  </wps:wsp>
                </a:graphicData>
              </a:graphic>
            </wp:anchor>
          </w:drawing>
        </mc:Choice>
        <mc:Fallback>
          <w:pict>
            <v:shape id="_x0000_s1026" o:spid="_x0000_s1026" o:spt="202" type="#_x0000_t202" style="position:absolute;left:0pt;margin-left:89pt;margin-top:775.65pt;height:17.5pt;width:32.3pt;mso-position-horizontal-relative:page;mso-position-vertical-relative:page;z-index:-251657216;mso-width-relative:page;mso-height-relative:page;" filled="f" stroked="f" coordsize="21600,21600" o:gfxdata="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Z7on/bAAAADQEAAA8AAAAAAAAAAQAgAAAAIgAAAGRycy9kb3ducmV2LnhtbFBLAQIU&#10;ABQAAAAIAIdO4kDOyZtmtwEAAHEDAAAOAAAAAAAAAAEAIAAAACoBAABkcnMvZTJvRG9jLnhtbFBL&#10;BQYAAAAABgAGAFkBAABTBQAAAAA=&#10;">
              <v:fill on="f" focussize="0,0"/>
              <v:stroke on="f"/>
              <v:imagedata o:title=""/>
              <o:lock v:ext="edit" aspectratio="f"/>
              <v:textbox inset="0mm,0mm,0mm,0mm">
                <w:txbxContent>
                  <w:p>
                    <w:pPr>
                      <w:spacing w:before="7"/>
                      <w:ind w:left="20" w:right="0" w:firstLine="0"/>
                      <w:jc w:val="left"/>
                      <w:rPr>
                        <w:rFonts w:ascii="Times New Roman"/>
                        <w:sz w:val="28"/>
                      </w:rPr>
                    </w:pPr>
                    <w:r>
                      <w:rPr>
                        <w:rFonts w:ascii="Times New Roman"/>
                        <w:sz w:val="28"/>
                      </w:rPr>
                      <w:t xml:space="preserve">- </w:t>
                    </w:r>
                    <w:r>
                      <w:fldChar w:fldCharType="begin"/>
                    </w:r>
                    <w:r>
                      <w:rPr>
                        <w:rFonts w:ascii="Times New Roman"/>
                        <w:sz w:val="28"/>
                      </w:rPr>
                      <w:instrText xml:space="preserve"> PAGE </w:instrText>
                    </w:r>
                    <w:r>
                      <w:fldChar w:fldCharType="separate"/>
                    </w:r>
                    <w:r>
                      <w:t>10</w:t>
                    </w:r>
                    <w:r>
                      <w:fldChar w:fldCharType="end"/>
                    </w:r>
                    <w:r>
                      <w:rPr>
                        <w:rFonts w:ascii="Times New Roman"/>
                        <w:sz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default" w:eastAsia="宋体"/>
        <w:lang w:val="en-US" w:eastAsia="zh-CN"/>
      </w:rPr>
    </w:pPr>
    <w:r>
      <w:rPr>
        <w:rFonts w:hint="eastAsia"/>
        <w:lang w:val="en-US" w:eastAsia="zh-C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kZWFjNWQ3NjNiN2RjNjUyYmQ0MmNjNWYxODU5MTcifQ=="/>
  </w:docVars>
  <w:rsids>
    <w:rsidRoot w:val="00172A27"/>
    <w:rsid w:val="00225F7A"/>
    <w:rsid w:val="06404CF8"/>
    <w:rsid w:val="23472321"/>
    <w:rsid w:val="285A02A3"/>
    <w:rsid w:val="2E4A05A8"/>
    <w:rsid w:val="2E641A8A"/>
    <w:rsid w:val="35856219"/>
    <w:rsid w:val="35A038D2"/>
    <w:rsid w:val="3BAF4F9D"/>
    <w:rsid w:val="502B55EA"/>
    <w:rsid w:val="5A0E06FB"/>
    <w:rsid w:val="5E780245"/>
    <w:rsid w:val="683E7302"/>
    <w:rsid w:val="71F07860"/>
    <w:rsid w:val="76650EE2"/>
    <w:rsid w:val="79C95395"/>
    <w:rsid w:val="7E973746"/>
    <w:rsid w:val="7EBD48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_GB2312" w:hAnsi="仿宋_GB2312" w:eastAsia="仿宋_GB2312" w:cs="仿宋_GB2312"/>
      <w:sz w:val="22"/>
      <w:szCs w:val="22"/>
      <w:lang w:val="zh-CN" w:eastAsia="zh-CN" w:bidi="zh-CN"/>
    </w:rPr>
  </w:style>
  <w:style w:type="paragraph" w:styleId="2">
    <w:name w:val="heading 2"/>
    <w:basedOn w:val="1"/>
    <w:next w:val="1"/>
    <w:qFormat/>
    <w:uiPriority w:val="1"/>
    <w:pPr>
      <w:ind w:right="214"/>
      <w:jc w:val="center"/>
      <w:outlineLvl w:val="2"/>
    </w:pPr>
    <w:rPr>
      <w:rFonts w:ascii="方正小标宋简体" w:hAnsi="方正小标宋简体" w:eastAsia="方正小标宋简体" w:cs="方正小标宋简体"/>
      <w:sz w:val="44"/>
      <w:szCs w:val="44"/>
      <w:lang w:val="zh-CN" w:eastAsia="zh-CN" w:bidi="zh-CN"/>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仿宋_GB2312" w:hAnsi="仿宋_GB2312" w:eastAsia="仿宋_GB2312" w:cs="仿宋_GB2312"/>
      <w:sz w:val="32"/>
      <w:szCs w:val="32"/>
      <w:lang w:val="zh-CN" w:eastAsia="zh-CN" w:bidi="zh-CN"/>
    </w:rPr>
  </w:style>
  <w:style w:type="paragraph" w:styleId="4">
    <w:name w:val="footer"/>
    <w:basedOn w:val="1"/>
    <w:unhideWhenUsed/>
    <w:qFormat/>
    <w:uiPriority w:val="99"/>
    <w:pPr>
      <w:tabs>
        <w:tab w:val="center" w:pos="4153"/>
        <w:tab w:val="right" w:pos="8306"/>
      </w:tabs>
      <w:snapToGrid w:val="0"/>
      <w:jc w:val="left"/>
    </w:pPr>
    <w:rPr>
      <w:kern w:val="0"/>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Paragraph"/>
    <w:basedOn w:val="1"/>
    <w:qFormat/>
    <w:uiPriority w:val="1"/>
    <w:rPr>
      <w:rFonts w:ascii="仿宋_GB2312" w:hAnsi="仿宋_GB2312" w:eastAsia="仿宋_GB2312" w:cs="仿宋_GB2312"/>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2471</Words>
  <Characters>2503</Characters>
  <Lines>0</Lines>
  <Paragraphs>0</Paragraphs>
  <TotalTime>87</TotalTime>
  <ScaleCrop>false</ScaleCrop>
  <LinksUpToDate>false</LinksUpToDate>
  <CharactersWithSpaces>2928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2023-03-04T04:40:00Z</dcterms:created>
  <dc:creator>Autumn</dc:creator>
  <cp:lastModifiedBy>水金刚</cp:lastModifiedBy>
  <dcterms:modified xsi:type="dcterms:W3CDTF">2023-03-14T02:25:55Z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7A25E0C7C0BE4F7DB8B9FE6061EA2933</vt:lpwstr>
  </property>
</Properties>
</file>